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B6" w:rsidRDefault="00C6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5166124</wp:posOffset>
            </wp:positionH>
            <wp:positionV relativeFrom="page">
              <wp:posOffset>252095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города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Бердска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квартале 2024 года, и результаты их рассмотрения</w:t>
      </w:r>
    </w:p>
    <w:p w:rsidR="006342B6" w:rsidRDefault="006342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342B6" w:rsidRDefault="00C636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адресованных Главе города Бердска Новосибирской области, ведется в соответствии с Конституцией Российской Федерации, действующим федеральным и областным законодательс</w:t>
      </w:r>
      <w:r>
        <w:rPr>
          <w:rFonts w:ascii="Times New Roman" w:hAnsi="Times New Roman"/>
          <w:sz w:val="28"/>
          <w:szCs w:val="20"/>
          <w:lang w:eastAsia="ru-RU"/>
        </w:rPr>
        <w:t xml:space="preserve">твом, нормативными правовыми актами города Бердска Новосибирской области. Организацию работы по объективному, всестороннему и своевременному рассмотрению обращений осуществляет отдел общественной приемной Главы города Бердска </w:t>
      </w:r>
      <w:r>
        <w:rPr>
          <w:rFonts w:ascii="Times New Roman" w:hAnsi="Times New Roman"/>
          <w:sz w:val="28"/>
          <w:szCs w:val="28"/>
        </w:rPr>
        <w:t>управления документационного о</w:t>
      </w:r>
      <w:r>
        <w:rPr>
          <w:rFonts w:ascii="Times New Roman" w:hAnsi="Times New Roman"/>
          <w:sz w:val="28"/>
          <w:szCs w:val="28"/>
        </w:rPr>
        <w:t>беспечения и 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Бердска</w:t>
      </w:r>
      <w:r>
        <w:rPr>
          <w:rFonts w:ascii="Times New Roman" w:hAnsi="Times New Roman"/>
          <w:sz w:val="28"/>
          <w:szCs w:val="20"/>
          <w:lang w:eastAsia="ru-RU"/>
        </w:rPr>
        <w:t>.</w:t>
      </w:r>
    </w:p>
    <w:p w:rsidR="006342B6" w:rsidRDefault="006342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342B6" w:rsidRDefault="00C63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2024 года Главе города Бердска, заместителям главы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поступило 1430 обращений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1252 обращения,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1109 обращений)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числе:</w:t>
      </w:r>
    </w:p>
    <w:p w:rsidR="006342B6" w:rsidRDefault="00C6361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письменных обращений – 697 – 49%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670 – 54%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737 – 66%)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342B6" w:rsidRDefault="00C6361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обращений на личном приеме граждан Главой города, заместителями главы администрации – 68 – 4%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48 - 4%,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вартале 2023 года – 48 – 4%);</w:t>
      </w:r>
    </w:p>
    <w:p w:rsidR="006342B6" w:rsidRDefault="00C6361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устных сообщений по справочному телефону – 35 – 2%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62 – 5%,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25 – 2%)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342B6" w:rsidRDefault="00C6361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личных обращений к специалистам общественной приемной Главы города, требующих принятия мер – 5 – 1%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– 11 – 1%,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– 3 – 1%).</w:t>
      </w:r>
    </w:p>
    <w:p w:rsidR="006342B6" w:rsidRDefault="00C6361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сообщений через цифровую платформу обратной связи – подсистему Единого портала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(ПОС) – 625 – 44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– 461 – 36%,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– 296 – 27%).</w:t>
      </w:r>
    </w:p>
    <w:p w:rsidR="006342B6" w:rsidRDefault="006342B6">
      <w:pPr>
        <w:widowControl w:val="0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C6361A">
      <w:pPr>
        <w:rPr>
          <w:color w:val="C9211E"/>
        </w:rPr>
      </w:pPr>
      <w:r>
        <w:rPr>
          <w:noProof/>
          <w:lang w:eastAsia="ru-RU"/>
        </w:rPr>
        <w:drawing>
          <wp:inline distT="0" distB="0" distL="0" distR="0">
            <wp:extent cx="6096000" cy="2324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2B6" w:rsidRDefault="006342B6">
      <w:pPr>
        <w:spacing w:after="0" w:line="240" w:lineRule="auto"/>
        <w:rPr>
          <w:color w:val="C9211E"/>
        </w:rPr>
      </w:pPr>
    </w:p>
    <w:p w:rsidR="006342B6" w:rsidRDefault="006342B6">
      <w:pPr>
        <w:spacing w:after="0" w:line="240" w:lineRule="auto"/>
        <w:rPr>
          <w:color w:val="C9211E"/>
        </w:rPr>
      </w:pPr>
    </w:p>
    <w:p w:rsidR="006342B6" w:rsidRDefault="00C6361A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2024 года (1252 обращения) общее количество поступивших обращений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color w:val="000000"/>
          <w:sz w:val="28"/>
          <w:szCs w:val="28"/>
        </w:rPr>
        <w:t xml:space="preserve">2024 года </w:t>
      </w:r>
      <w:r>
        <w:rPr>
          <w:rFonts w:ascii="Times New Roman" w:hAnsi="Times New Roman"/>
          <w:b/>
          <w:color w:val="000000"/>
          <w:sz w:val="28"/>
          <w:szCs w:val="28"/>
        </w:rPr>
        <w:t>увеличилось на 14%</w:t>
      </w:r>
      <w:r>
        <w:rPr>
          <w:rFonts w:ascii="Times New Roman" w:hAnsi="Times New Roman"/>
          <w:color w:val="000000"/>
          <w:sz w:val="28"/>
          <w:szCs w:val="28"/>
        </w:rPr>
        <w:t xml:space="preserve"> (на 178 обращений).</w:t>
      </w:r>
    </w:p>
    <w:p w:rsidR="006342B6" w:rsidRDefault="006342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2023 года (1109 обращений) общее количество поступивших обращений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/>
          <w:color w:val="000000"/>
          <w:sz w:val="28"/>
          <w:szCs w:val="28"/>
        </w:rPr>
        <w:t xml:space="preserve">2024 года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увеличилось </w:t>
      </w:r>
      <w:r>
        <w:rPr>
          <w:rFonts w:ascii="Times New Roman" w:hAnsi="Times New Roman"/>
          <w:color w:val="000000"/>
          <w:sz w:val="28"/>
          <w:szCs w:val="28"/>
        </w:rPr>
        <w:t>на 29% (на 321 обращение).</w:t>
      </w:r>
    </w:p>
    <w:p w:rsidR="006342B6" w:rsidRDefault="006342B6">
      <w:pPr>
        <w:spacing w:after="0" w:line="240" w:lineRule="auto"/>
        <w:rPr>
          <w:color w:val="000000"/>
        </w:rPr>
      </w:pPr>
    </w:p>
    <w:p w:rsidR="006342B6" w:rsidRDefault="00C6361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Письменные обращения граждан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Главе города Бердска, заместителям главы администрации поступило 697 письменных обращений и запросов, в том числе в форме электронного документа через официальный сайт администрации города Бердска 261 обращение – 37%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4 года – 670, в том числе в форме электронного документа – 255 обращений – 38%,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737, в том числе в форме электронного документа – 266 обращений – 36%).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2024 года количество письменных обращений </w:t>
      </w:r>
      <w:r>
        <w:rPr>
          <w:rFonts w:ascii="Times New Roman" w:hAnsi="Times New Roman"/>
          <w:b/>
          <w:color w:val="000000"/>
          <w:sz w:val="28"/>
          <w:szCs w:val="28"/>
        </w:rPr>
        <w:t>увели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чилось </w:t>
      </w:r>
      <w:r>
        <w:rPr>
          <w:rFonts w:ascii="Times New Roman" w:hAnsi="Times New Roman"/>
          <w:color w:val="000000"/>
          <w:sz w:val="28"/>
          <w:szCs w:val="28"/>
        </w:rPr>
        <w:t>на 4% (на 27 обращений).</w:t>
      </w: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2023 года количество письменных обращений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уменьшилось </w:t>
      </w:r>
      <w:r>
        <w:rPr>
          <w:rFonts w:ascii="Times New Roman" w:hAnsi="Times New Roman"/>
          <w:color w:val="000000"/>
          <w:sz w:val="28"/>
          <w:szCs w:val="28"/>
        </w:rPr>
        <w:t>на 5% (на 40 обращений).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заявления – 663 – 94%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(во II квартале 2024 года – 638 – 95%, в III квартале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2023 года – 676 – 92%);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жалобы – 6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(во II квартале 2024 года – 7 – 1%, в III квартале 2023 года – 18 – 2%);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запросы – 25 – 4%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(во II квартале 2024 года – 20 – 3%, в III квартале 2023 года – 39 – 5%);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не обращения – 3 – 1% (благодарности, приглашения и т.п.)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(во II квартале 2023 года – 5 – 1%, в III квартале 2023 года – 4 – 1%).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C9211E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noProof/>
          <w:lang w:eastAsia="ru-RU"/>
        </w:rPr>
        <w:drawing>
          <wp:inline distT="0" distB="0" distL="0" distR="0">
            <wp:extent cx="6096000" cy="22002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42B6" w:rsidRDefault="006342B6">
      <w:pPr>
        <w:spacing w:after="0" w:line="240" w:lineRule="auto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6342B6">
      <w:pPr>
        <w:spacing w:after="0" w:line="240" w:lineRule="auto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поступившие обращения граждан были направлены на рассмотрение в администрацию города Бердска:</w:t>
      </w: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- 65 - из управления по работе с обращениями граждан – общественной приемной Губернатора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- 51 - из федеральных органов исполнительной власти и исполнительных органов государственной власти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- 47 -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 прокуратуры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города Бердска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- 6 - из иных органов местного самоуправления Новосибирской области;</w:t>
      </w: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- 2 - из Законодательного Собрания Новосибирской области;</w:t>
      </w: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- 2 -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 Уполномоченного по правам ребенка в Новосибирской области;</w:t>
      </w: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- 1 - от Уполномоченного по правам человека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Новосибирской области;</w:t>
      </w:r>
    </w:p>
    <w:p w:rsidR="006342B6" w:rsidRDefault="00C6361A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- 523 – непосредственно от жителей города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42B6" w:rsidRDefault="006342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697 письменных обращениях содержится 770 вопросов, относящихся к следующим тематическим разделам:</w:t>
      </w:r>
    </w:p>
    <w:p w:rsidR="006342B6" w:rsidRDefault="006342B6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C6361A">
      <w:pPr>
        <w:spacing w:line="240" w:lineRule="auto"/>
        <w:rPr>
          <w:color w:val="C9211E"/>
        </w:rPr>
      </w:pPr>
      <w:r>
        <w:rPr>
          <w:noProof/>
          <w:lang w:eastAsia="ru-RU"/>
        </w:rPr>
        <w:drawing>
          <wp:inline distT="0" distB="0" distL="0" distR="0">
            <wp:extent cx="6096000" cy="2400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«Государство, общество, политика» – 90 – 12%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98 – 13%,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59 – 7%)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конституционный строй (46); основы государственного управления (36); гражданское право (8). 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А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ктуальными вопросами в сфере государства, общества и политики для жителей являются: предоставление (разъяснение) информаци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и; обращение имущества в муниципальную собственность; личный прием должностными лицами органов местного самоуправления.</w:t>
      </w:r>
    </w:p>
    <w:p w:rsidR="006342B6" w:rsidRDefault="006342B6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</w:p>
    <w:tbl>
      <w:tblPr>
        <w:tblW w:w="894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65"/>
        <w:gridCol w:w="4841"/>
        <w:gridCol w:w="1251"/>
        <w:gridCol w:w="1246"/>
        <w:gridCol w:w="1244"/>
      </w:tblGrid>
      <w:tr w:rsidR="006342B6">
        <w:trPr>
          <w:trHeight w:val="41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вопросов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квартал 2024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квартал 2024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квартал 2023 года</w:t>
            </w:r>
          </w:p>
        </w:tc>
      </w:tr>
      <w:tr w:rsidR="006342B6">
        <w:trPr>
          <w:trHeight w:val="28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(разъяснение) информации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6342B6">
        <w:trPr>
          <w:trHeight w:val="28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Обращение имущества в муниципальную собственность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6342B6">
        <w:trPr>
          <w:trHeight w:val="28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B6" w:rsidRDefault="00C636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«Социальная сфера»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 56 – 7%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52 – 7%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106 – 12%)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образование (17); социальное обеспечение (16); здравоохранение (11); труд и занятость населения (5); семья (4); физическая культура и спорт (3).</w:t>
      </w:r>
    </w:p>
    <w:p w:rsidR="006342B6" w:rsidRDefault="00C6361A">
      <w:pPr>
        <w:widowControl w:val="0"/>
        <w:shd w:val="clear" w:color="auto" w:fill="FFFFFF"/>
        <w:tabs>
          <w:tab w:val="left" w:pos="3756"/>
        </w:tabs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ab/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Актуальными вопросами в социальной сфере для жителей являются: санитарно-эпидемиологическое благополучие насе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ления, поступление в образовательные организации, социальное обслуживание.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tbl>
      <w:tblPr>
        <w:tblStyle w:val="12"/>
        <w:tblW w:w="84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4266"/>
        <w:gridCol w:w="1264"/>
        <w:gridCol w:w="1199"/>
        <w:gridCol w:w="1298"/>
      </w:tblGrid>
      <w:tr w:rsidR="006342B6">
        <w:trPr>
          <w:trHeight w:val="415"/>
        </w:trPr>
        <w:tc>
          <w:tcPr>
            <w:tcW w:w="417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66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вопросов</w:t>
            </w:r>
          </w:p>
        </w:tc>
        <w:tc>
          <w:tcPr>
            <w:tcW w:w="1264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квартал</w:t>
            </w:r>
          </w:p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1199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квартал 2024 года</w:t>
            </w:r>
          </w:p>
        </w:tc>
        <w:tc>
          <w:tcPr>
            <w:tcW w:w="1298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квартал</w:t>
            </w:r>
          </w:p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года</w:t>
            </w:r>
          </w:p>
        </w:tc>
      </w:tr>
      <w:tr w:rsidR="006342B6">
        <w:trPr>
          <w:trHeight w:val="284"/>
        </w:trPr>
        <w:tc>
          <w:tcPr>
            <w:tcW w:w="417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6" w:type="dxa"/>
            <w:vAlign w:val="center"/>
          </w:tcPr>
          <w:p w:rsidR="006342B6" w:rsidRDefault="00C636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  <w:tc>
          <w:tcPr>
            <w:tcW w:w="1264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9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8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6342B6">
        <w:trPr>
          <w:trHeight w:val="284"/>
        </w:trPr>
        <w:tc>
          <w:tcPr>
            <w:tcW w:w="417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6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Поступление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264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342B6">
        <w:trPr>
          <w:trHeight w:val="284"/>
        </w:trPr>
        <w:tc>
          <w:tcPr>
            <w:tcW w:w="417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6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1264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8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6342B6" w:rsidRDefault="006342B6">
      <w:pPr>
        <w:spacing w:after="0" w:line="240" w:lineRule="auto"/>
        <w:jc w:val="both"/>
        <w:rPr>
          <w:color w:val="C9211E"/>
        </w:rPr>
      </w:pPr>
    </w:p>
    <w:p w:rsidR="006342B6" w:rsidRDefault="00C6361A">
      <w:pPr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«Экономика» – 392 – 51%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357 – 48%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467 – 52%)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хозяйственная деятельность (321):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благоустройство и ремонт подъездных дорог и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тротуаров (62);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комплексное благоустройство (44); уборка мусора и посторонних предметов (35); строительство (34); водоотведение (28); транспортное обслуживание населения (27); организация мест детского массового отдыха (18); торговля (18); содержание транс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портной инфраструктуры (9); дорожные знаки и дорожная разметка (7)</w:t>
      </w:r>
      <w:r>
        <w:rPr>
          <w:rFonts w:ascii="Times New Roman" w:hAnsi="Times New Roman"/>
          <w:i/>
          <w:color w:val="C9211E"/>
          <w:sz w:val="26"/>
          <w:szCs w:val="26"/>
          <w:lang w:eastAsia="ru-RU"/>
        </w:rPr>
        <w:t xml:space="preserve">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освещение (6);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сельское хозяйство (5); парковка автотранспорта (5);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бытовое обслуживание населения (4); </w:t>
      </w:r>
      <w:r>
        <w:rPr>
          <w:rFonts w:ascii="Times New Roman" w:hAnsi="Times New Roman"/>
          <w:i/>
          <w:color w:val="000000"/>
          <w:sz w:val="26"/>
          <w:szCs w:val="26"/>
        </w:rPr>
        <w:t>газификация поселений (4); водоснабжение поселений (4); правила технической эксплуат</w:t>
      </w:r>
      <w:r>
        <w:rPr>
          <w:rFonts w:ascii="Times New Roman" w:hAnsi="Times New Roman"/>
          <w:i/>
          <w:color w:val="000000"/>
          <w:sz w:val="26"/>
          <w:szCs w:val="26"/>
        </w:rPr>
        <w:t>ации электростанций (3);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борьба с аварийностью, безопасность дорожного движения (3);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технологическое присоединение объектов к газораспределительным сетям (2); выгул собак (2); почтовые услуги (1).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природные ресурсы и охрана окружающей среды (68):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земельные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вопросы (38); использование, охрана, защита и воспроизводство лесов (20); охрана животного мира (6); охрана окружающей природной среды (2);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водные ресурсы (2).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и информатизация (3):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запросы архивных данных (3).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Актуальными вопросами в сфере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экономики для жителей являются: благоустройство и ремонт дорог и тротуаров, комплексное </w:t>
      </w:r>
      <w:proofErr w:type="gramStart"/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благоустройство,  земельные</w:t>
      </w:r>
      <w:proofErr w:type="gramEnd"/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вопросы.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tbl>
      <w:tblPr>
        <w:tblStyle w:val="22"/>
        <w:tblW w:w="9725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510"/>
        <w:gridCol w:w="5091"/>
        <w:gridCol w:w="1423"/>
        <w:gridCol w:w="1420"/>
        <w:gridCol w:w="1281"/>
      </w:tblGrid>
      <w:tr w:rsidR="006342B6">
        <w:trPr>
          <w:trHeight w:val="476"/>
        </w:trPr>
        <w:tc>
          <w:tcPr>
            <w:tcW w:w="510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5091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Наименование вопросов</w:t>
            </w:r>
          </w:p>
        </w:tc>
        <w:tc>
          <w:tcPr>
            <w:tcW w:w="1423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 квартал 2024 года</w:t>
            </w:r>
          </w:p>
        </w:tc>
        <w:tc>
          <w:tcPr>
            <w:tcW w:w="1420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 квартал 2024 года</w:t>
            </w:r>
          </w:p>
        </w:tc>
        <w:tc>
          <w:tcPr>
            <w:tcW w:w="1281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 квартал 2023 года</w:t>
            </w:r>
          </w:p>
        </w:tc>
      </w:tr>
      <w:tr w:rsidR="006342B6">
        <w:trPr>
          <w:trHeight w:val="284"/>
        </w:trPr>
        <w:tc>
          <w:tcPr>
            <w:tcW w:w="510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091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Благоустройство и ремонт подъездных </w:t>
            </w:r>
            <w:r>
              <w:rPr>
                <w:rFonts w:ascii="Times New Roman" w:hAnsi="Times New Roman"/>
                <w:color w:val="000000"/>
                <w:sz w:val="20"/>
              </w:rPr>
              <w:t>дорог и тротуаров</w:t>
            </w:r>
          </w:p>
        </w:tc>
        <w:tc>
          <w:tcPr>
            <w:tcW w:w="1423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1420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1281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124</w:t>
            </w:r>
          </w:p>
        </w:tc>
      </w:tr>
      <w:tr w:rsidR="006342B6">
        <w:trPr>
          <w:trHeight w:val="284"/>
        </w:trPr>
        <w:tc>
          <w:tcPr>
            <w:tcW w:w="510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091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Комплексное благоустройство</w:t>
            </w:r>
          </w:p>
        </w:tc>
        <w:tc>
          <w:tcPr>
            <w:tcW w:w="1423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420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1281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</w:p>
        </w:tc>
      </w:tr>
      <w:tr w:rsidR="006342B6">
        <w:trPr>
          <w:trHeight w:val="284"/>
        </w:trPr>
        <w:tc>
          <w:tcPr>
            <w:tcW w:w="510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091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Земельные вопросы</w:t>
            </w:r>
          </w:p>
        </w:tc>
        <w:tc>
          <w:tcPr>
            <w:tcW w:w="1423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1420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281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</w:tr>
    </w:tbl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C9211E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«Оборона, безопасность, законность» – 40 – 5%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 – 3%,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37 – 4%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безопасность и охрана правопорядка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(31); оборона (9).</w:t>
      </w:r>
    </w:p>
    <w:p w:rsidR="006342B6" w:rsidRDefault="006342B6">
      <w:pPr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Актуальными вопросами в сфере экономики для жителей являются: охрана общественного порядка, социальная защита военнослужащих, нарушение правил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lastRenderedPageBreak/>
        <w:t>парковки.</w:t>
      </w:r>
    </w:p>
    <w:tbl>
      <w:tblPr>
        <w:tblStyle w:val="22"/>
        <w:tblW w:w="9725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510"/>
        <w:gridCol w:w="5091"/>
        <w:gridCol w:w="1423"/>
        <w:gridCol w:w="1420"/>
        <w:gridCol w:w="1281"/>
      </w:tblGrid>
      <w:tr w:rsidR="006342B6">
        <w:trPr>
          <w:trHeight w:val="476"/>
        </w:trPr>
        <w:tc>
          <w:tcPr>
            <w:tcW w:w="510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5091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Наименование вопросов</w:t>
            </w:r>
          </w:p>
        </w:tc>
        <w:tc>
          <w:tcPr>
            <w:tcW w:w="1423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 квартал 2024 года</w:t>
            </w:r>
          </w:p>
        </w:tc>
        <w:tc>
          <w:tcPr>
            <w:tcW w:w="1420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 квартал 2024 года</w:t>
            </w:r>
          </w:p>
        </w:tc>
        <w:tc>
          <w:tcPr>
            <w:tcW w:w="1281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 квартал 2023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года</w:t>
            </w:r>
          </w:p>
        </w:tc>
      </w:tr>
      <w:tr w:rsidR="006342B6">
        <w:trPr>
          <w:trHeight w:val="284"/>
        </w:trPr>
        <w:tc>
          <w:tcPr>
            <w:tcW w:w="510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091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Охрана общественного порядка</w:t>
            </w:r>
          </w:p>
        </w:tc>
        <w:tc>
          <w:tcPr>
            <w:tcW w:w="1423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1420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281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</w:tr>
      <w:tr w:rsidR="006342B6">
        <w:trPr>
          <w:trHeight w:val="284"/>
        </w:trPr>
        <w:tc>
          <w:tcPr>
            <w:tcW w:w="510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091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Социальная защита военнослужащих</w:t>
            </w:r>
          </w:p>
        </w:tc>
        <w:tc>
          <w:tcPr>
            <w:tcW w:w="1423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1420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6342B6">
        <w:trPr>
          <w:trHeight w:val="284"/>
        </w:trPr>
        <w:tc>
          <w:tcPr>
            <w:tcW w:w="510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091" w:type="dxa"/>
            <w:vAlign w:val="center"/>
          </w:tcPr>
          <w:p w:rsidR="006342B6" w:rsidRDefault="00C6361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Нарушение правил парковки</w:t>
            </w:r>
          </w:p>
        </w:tc>
        <w:tc>
          <w:tcPr>
            <w:tcW w:w="1423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20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</w:tbl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C9211E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–коммунальная сфера» – 192 – 25%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217 – 29%,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224 – 25%)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коммунальное хозяйство (150):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коммунально-бытовое хозяйство и предоставление услуг в условиях рынка (44); обращение с твердыми коммунальными отходами (21); содержание общего имущества (15); перебои в электроснабжении (12); оплата жилищно-коммунальных услу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г (11); деятельность управляющих компаний (11); перебои в водоснабжении (10); ремонт и эксплуатация ливневой канализации (8); устранение аварийных ситуаций на магистральных коммуникациях (7); предоставление коммунальных услуг ненадлежащего качества (5); не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санкционированная свалка мусора (2);  приборы учета коммунальных ресурсов (2); капитальный ремонт общего имущества (1); перебои в водоотведении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канализовании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(1).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 жилищного законодательства (20); обеспечение граждан жилищем (14); жилищный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фонд (7); дачное хозяйство (1). 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C9211E"/>
          <w:sz w:val="26"/>
          <w:szCs w:val="26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Актуальными вопросами в жилищно-коммунальной сфере для жителей являются: коммунально-бытовое хозяйство и предоставление услуг в условиях рынка, нормативно-правовое регулирование жилищных вопросов, обращение с твердыми ком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мунальными отходами.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C9211E"/>
          <w:sz w:val="26"/>
          <w:szCs w:val="26"/>
          <w:lang w:eastAsia="ru-RU"/>
        </w:rPr>
      </w:pPr>
    </w:p>
    <w:tbl>
      <w:tblPr>
        <w:tblStyle w:val="2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704"/>
        <w:gridCol w:w="1425"/>
        <w:gridCol w:w="1417"/>
        <w:gridCol w:w="1559"/>
      </w:tblGrid>
      <w:tr w:rsidR="006342B6">
        <w:trPr>
          <w:trHeight w:val="476"/>
        </w:trPr>
        <w:tc>
          <w:tcPr>
            <w:tcW w:w="534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4704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Наименование вопросов</w:t>
            </w:r>
          </w:p>
        </w:tc>
        <w:tc>
          <w:tcPr>
            <w:tcW w:w="1425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квартал</w:t>
            </w:r>
          </w:p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2024 года</w:t>
            </w:r>
          </w:p>
        </w:tc>
        <w:tc>
          <w:tcPr>
            <w:tcW w:w="1417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квартал 2024 года</w:t>
            </w:r>
          </w:p>
        </w:tc>
        <w:tc>
          <w:tcPr>
            <w:tcW w:w="1559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квартал</w:t>
            </w:r>
          </w:p>
          <w:p w:rsidR="006342B6" w:rsidRDefault="00C636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2023 года</w:t>
            </w:r>
          </w:p>
        </w:tc>
      </w:tr>
      <w:tr w:rsidR="006342B6">
        <w:trPr>
          <w:trHeight w:val="331"/>
        </w:trPr>
        <w:tc>
          <w:tcPr>
            <w:tcW w:w="534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704" w:type="dxa"/>
            <w:vAlign w:val="center"/>
          </w:tcPr>
          <w:p w:rsidR="006342B6" w:rsidRDefault="00C6361A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425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417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</w:tr>
      <w:tr w:rsidR="006342B6">
        <w:trPr>
          <w:trHeight w:val="281"/>
        </w:trPr>
        <w:tc>
          <w:tcPr>
            <w:tcW w:w="534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704" w:type="dxa"/>
            <w:vAlign w:val="center"/>
          </w:tcPr>
          <w:p w:rsidR="006342B6" w:rsidRDefault="00C6361A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Нормативно-правовое регулирование жилищных вопросов</w:t>
            </w:r>
          </w:p>
        </w:tc>
        <w:tc>
          <w:tcPr>
            <w:tcW w:w="1425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6342B6">
        <w:trPr>
          <w:trHeight w:val="284"/>
        </w:trPr>
        <w:tc>
          <w:tcPr>
            <w:tcW w:w="534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4" w:type="dxa"/>
            <w:vAlign w:val="center"/>
          </w:tcPr>
          <w:p w:rsidR="006342B6" w:rsidRDefault="00C6361A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425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6342B6" w:rsidRDefault="00C6361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</w:tbl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вопросов в письменных обращениях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разделах: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на 12% (на 25 вопросов);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государство, общество, политика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8% (на 8 вопросов).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увеличилось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разделах: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оборона, безопасность, законность на 90% (на 19 вопросов);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экономика на 10% (на 35 вопросов)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 на 8% (на 4 вопроса).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года количество вопросов в письменных обращениях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разделах: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социальная сфера на 47% (на 50 вопросов);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экономика на 16% (на 75 вопросов); 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жилищно-коммунальная сфера на 14% (на 32 вопроса).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увеличилось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разделах: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государство, общество, политика на 53% (на 31 вопрос);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- оборона, безопасность, законность на 8% (на 3 вопроса).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Исполнение письменных обращений граждан, поступивших в администрацию города Бердска, было поставлено на контроль.</w:t>
      </w:r>
    </w:p>
    <w:p w:rsidR="006342B6" w:rsidRDefault="006342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всех письменных обращений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поступивших 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года:   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выездом на место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20 обращений – 3%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22 обращения – 3%,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43 обращения – 6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% )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 рассмотрено с отлагательным сроком исполнения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- 40 обращений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48 обращений – 7%,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68 обращений – 9%).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года:   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4 обращения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 обращения – 1%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9 обращений – 1%);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689 обращений – 98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668 обращений – 99%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– 725 обращений – 98%).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перенаправлено по компетенции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учреждения – 4 обращ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ения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але 2024 года – 0 обращений, в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квартале 2023 года – 3 обращения – 1%).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Личный прием граждан Главой города, заместителями главы администрации,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руководителями структурных подразделений администрации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Главой города Бердска, заместителями главы администрации и руководителями структурных подразделений администрации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приняты 68 человек – 4%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48 челове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к – 4%,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48 человек – 4%).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обращений на личных приемах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42% (на 20 обращений).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года количество обращений на личных приемах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42% (на 20 обращений).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обращениях на личных приемах жителями были подняты 74 вопроса в тематических разделах: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хозяйственной деятельности (28);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 сфера (17);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 (17);</w:t>
      </w:r>
    </w:p>
    <w:p w:rsidR="006342B6" w:rsidRDefault="00C63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сфера природных ресурсов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(6);</w:t>
      </w:r>
    </w:p>
    <w:p w:rsidR="006342B6" w:rsidRDefault="00C63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сфера государства, общества, политики (5);</w:t>
      </w:r>
    </w:p>
    <w:p w:rsidR="006342B6" w:rsidRDefault="00C63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информации и информатизации (1).</w:t>
      </w:r>
    </w:p>
    <w:p w:rsidR="006342B6" w:rsidRDefault="006342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Устные сообщения и запросы по справочному телефону обществе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нной приемной Главы города</w:t>
      </w:r>
    </w:p>
    <w:p w:rsidR="006342B6" w:rsidRDefault="006342B6">
      <w:pPr>
        <w:widowControl w:val="0"/>
        <w:shd w:val="clear" w:color="auto" w:fill="FFFFFF"/>
        <w:spacing w:after="0" w:line="240" w:lineRule="auto"/>
        <w:ind w:left="311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по справочному телефону общественной приемной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Главы города Бердска поступило 35 сообщений – 2%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62 сообщения – 5%,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25 сообщений – 2%)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в форме смс-сообщений – 3 сообщения – 9%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года – 12 сообщений - 19%,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9 сообщений – 36%).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устных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44% (на 27 сообщений).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года количество устных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40% (на 10 сообщений).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устных сообщениях жителями города Бердска был поднят 41 вопрос в тематических разделах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хозяйственной деятельности (18);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жилищно-коммунальная сфера (14);</w:t>
      </w:r>
    </w:p>
    <w:p w:rsidR="006342B6" w:rsidRDefault="00C63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государства, общества, политики (4);</w:t>
      </w:r>
    </w:p>
    <w:p w:rsidR="006342B6" w:rsidRDefault="00C63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природных ресурсов (3);</w:t>
      </w:r>
    </w:p>
    <w:p w:rsidR="006342B6" w:rsidRDefault="00C63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социальная сфера (1);</w:t>
      </w:r>
    </w:p>
    <w:p w:rsidR="006342B6" w:rsidRDefault="00C636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обороны, безопасности, законности (1).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всем вопросам, содержащимся в устных сообщениях и запросах, предоставлена запрашиваемая информация, даны консультации и разъяснения. 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ind w:left="36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 Прием граждан специалистами общественной приемной Главы города.</w:t>
      </w:r>
    </w:p>
    <w:p w:rsidR="006342B6" w:rsidRDefault="006342B6">
      <w:pPr>
        <w:widowControl w:val="0"/>
        <w:shd w:val="clear" w:color="auto" w:fill="FFFFFF"/>
        <w:spacing w:after="0" w:line="240" w:lineRule="auto"/>
        <w:ind w:left="65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в отдел общественной прие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мной Главы города Бердска</w:t>
      </w:r>
      <w:r>
        <w:rPr>
          <w:rFonts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поступило от жителей 5 личных обращений – 1%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2024 – 11 обращений – 1%,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– 3 обращения — 1%).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личных обращений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уменьшилось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55% (на 6 обращени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й).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года количество личных обращений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67% (на 2 обращения).</w:t>
      </w:r>
    </w:p>
    <w:p w:rsidR="006342B6" w:rsidRDefault="006342B6">
      <w:pPr>
        <w:spacing w:after="0" w:line="240" w:lineRule="auto"/>
        <w:jc w:val="both"/>
        <w:rPr>
          <w:rFonts w:ascii="Times New Roman" w:hAnsi="Times New Roman"/>
          <w:color w:val="C9211E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специалистам общественной приемной, жители обращались с вопросами: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коммунальное хозяйство (4);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хозяйственная деятельность (2);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запись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личный прием к должностным лицам (1).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всем вопросам, содержащимся в личных обращениях, даны консультации и разъяснения.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ind w:left="1844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5. Сообщения граждан через платформу обратной связи.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через цифровую платформу обратной связи – подсистему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Единого портала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Решаем вместе» (ПОС) в администрацию города Бердска было направлено 625 сообщений - 44%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(во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i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квартале 2024 года – 461 сообщение — 36%, в 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квартале 2023 года – 296 сообщений — 27%).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2024 года количество электронных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36% (на 164 сообщения).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кварталом 2023 года количество электронных сообщений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увеличилось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111% (на 329 сообщений).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Вопросы, поднимаемые жителями в электронных сообще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ниях, относятся к тематическим разделам: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хозяйственной деятельности (323);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жилищно-коммунальная сфера (148);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(121);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сфера природных ресурсов (25);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сфера обороны, безопасности, законности (4);</w:t>
      </w:r>
    </w:p>
    <w:p w:rsidR="006342B6" w:rsidRDefault="00C6361A">
      <w:pPr>
        <w:widowControl w:val="0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сфера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государства, общества,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политики (4).</w:t>
      </w:r>
    </w:p>
    <w:p w:rsidR="006342B6" w:rsidRDefault="006342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все сообщения были предоставлены разъяснения, в случае необходимости приняты меры, в том числе с указанием сроков выполнения работ.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Мобильная группа Главы города Бердска</w:t>
      </w:r>
    </w:p>
    <w:p w:rsidR="006342B6" w:rsidRDefault="006342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мобильной группой было осуществлено 17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выездов, в ходе которых отработано 59 вопросов. По всем вопросам приняты меры и проверено качество выполненных работ.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42B6" w:rsidRDefault="00C6361A">
      <w:pPr>
        <w:widowControl w:val="0"/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7. Уведомления о проведении публичных мероприятий</w:t>
      </w:r>
    </w:p>
    <w:p w:rsidR="006342B6" w:rsidRDefault="006342B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 2024 года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было проведено одно публичное мероприятие в форме автопробега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Фактов нарушения общественного порядка при проведении заявленного публичного мероприятия не зафиксировано.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Иных уведомлений о проведении публичных мероприятий, в том числе протестных акций, не поступало.</w:t>
      </w:r>
    </w:p>
    <w:p w:rsidR="006342B6" w:rsidRDefault="006342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42B6" w:rsidRDefault="00C636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42B6">
      <w:headerReference w:type="even" r:id="rId13"/>
      <w:headerReference w:type="default" r:id="rId14"/>
      <w:headerReference w:type="first" r:id="rId15"/>
      <w:pgSz w:w="11906" w:h="16838"/>
      <w:pgMar w:top="851" w:right="849" w:bottom="709" w:left="1418" w:header="708" w:footer="0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361A">
      <w:pPr>
        <w:spacing w:after="0" w:line="240" w:lineRule="auto"/>
      </w:pPr>
      <w:r>
        <w:separator/>
      </w:r>
    </w:p>
  </w:endnote>
  <w:endnote w:type="continuationSeparator" w:id="0">
    <w:p w:rsidR="00000000" w:rsidRDefault="00C6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361A">
      <w:pPr>
        <w:spacing w:after="0" w:line="240" w:lineRule="auto"/>
      </w:pPr>
      <w:r>
        <w:separator/>
      </w:r>
    </w:p>
  </w:footnote>
  <w:footnote w:type="continuationSeparator" w:id="0">
    <w:p w:rsidR="00000000" w:rsidRDefault="00C6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B6" w:rsidRDefault="006342B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B6" w:rsidRDefault="006342B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B6" w:rsidRDefault="006342B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D3"/>
    <w:multiLevelType w:val="multilevel"/>
    <w:tmpl w:val="6D5C03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5E7BD0"/>
    <w:multiLevelType w:val="multilevel"/>
    <w:tmpl w:val="76505D98"/>
    <w:lvl w:ilvl="0">
      <w:start w:val="6"/>
      <w:numFmt w:val="decimal"/>
      <w:lvlText w:val="%1."/>
      <w:lvlJc w:val="left"/>
      <w:pPr>
        <w:tabs>
          <w:tab w:val="num" w:pos="0"/>
        </w:tabs>
        <w:ind w:left="220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4" w:hanging="180"/>
      </w:pPr>
    </w:lvl>
  </w:abstractNum>
  <w:abstractNum w:abstractNumId="2" w15:restartNumberingAfterBreak="0">
    <w:nsid w:val="52E42EFD"/>
    <w:multiLevelType w:val="multilevel"/>
    <w:tmpl w:val="9EEEA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75217D"/>
    <w:multiLevelType w:val="multilevel"/>
    <w:tmpl w:val="CC7AE262"/>
    <w:lvl w:ilvl="0">
      <w:start w:val="2"/>
      <w:numFmt w:val="decimal"/>
      <w:lvlText w:val="%1."/>
      <w:lvlJc w:val="left"/>
      <w:pPr>
        <w:tabs>
          <w:tab w:val="num" w:pos="0"/>
        </w:tabs>
        <w:ind w:left="2204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38" w:hanging="180"/>
      </w:pPr>
      <w:rPr>
        <w:rFonts w:cs="Times New Roman"/>
      </w:rPr>
    </w:lvl>
  </w:abstractNum>
  <w:abstractNum w:abstractNumId="4" w15:restartNumberingAfterBreak="0">
    <w:nsid w:val="6E434039"/>
    <w:multiLevelType w:val="multilevel"/>
    <w:tmpl w:val="1F08BB4A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B6"/>
    <w:rsid w:val="006342B6"/>
    <w:rsid w:val="00C6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27962-A5D3-429A-9678-86C36678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B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0"/>
    <w:uiPriority w:val="99"/>
    <w:qFormat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BodyTextIndented"/>
    <w:uiPriority w:val="99"/>
    <w:qFormat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D00056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8D2AE1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rsid w:val="00F27494"/>
    <w:rPr>
      <w:lang w:eastAsia="en-US"/>
    </w:rPr>
  </w:style>
  <w:style w:type="character" w:customStyle="1" w:styleId="gwt-inlinelabel">
    <w:name w:val="gwt-inlinelabel"/>
    <w:basedOn w:val="a0"/>
    <w:qFormat/>
    <w:rsid w:val="00AB61BB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c">
    <w:name w:val="Заголовок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BodyTextIndented">
    <w:name w:val="Body Text;Indented"/>
    <w:basedOn w:val="a"/>
    <w:link w:val="a4"/>
    <w:uiPriority w:val="99"/>
    <w:qFormat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qFormat/>
    <w:rsid w:val="00D00056"/>
    <w:pPr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e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0">
    <w:name w:val="Знак"/>
    <w:basedOn w:val="a"/>
    <w:uiPriority w:val="99"/>
    <w:qFormat/>
    <w:rsid w:val="00D00056"/>
    <w:pPr>
      <w:widowControl w:val="0"/>
      <w:spacing w:beforeAutospacing="1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qFormat/>
    <w:rsid w:val="00D00056"/>
    <w:pPr>
      <w:ind w:left="720"/>
      <w:contextualSpacing/>
    </w:pPr>
    <w:rPr>
      <w:rFonts w:eastAsia="Times New Roman"/>
    </w:rPr>
  </w:style>
  <w:style w:type="paragraph" w:styleId="af1">
    <w:name w:val="Balloon Text"/>
    <w:basedOn w:val="a"/>
    <w:uiPriority w:val="99"/>
    <w:semiHidden/>
    <w:qFormat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Знак Знак Знак"/>
    <w:basedOn w:val="a"/>
    <w:uiPriority w:val="99"/>
    <w:qFormat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"/>
    <w:uiPriority w:val="99"/>
    <w:unhideWhenUsed/>
    <w:rsid w:val="00F27494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16736F"/>
    <w:pPr>
      <w:ind w:left="720"/>
      <w:contextualSpacing/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af8">
    <w:name w:val="Без списка"/>
    <w:uiPriority w:val="99"/>
    <w:semiHidden/>
    <w:unhideWhenUsed/>
    <w:qFormat/>
  </w:style>
  <w:style w:type="table" w:styleId="af9">
    <w:name w:val="Table Grid"/>
    <w:basedOn w:val="a1"/>
    <w:uiPriority w:val="59"/>
    <w:rsid w:val="009C581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664E2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64E2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2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200" b="1" strike="noStrike" spc="-1">
                <a:solidFill>
                  <a:srgbClr val="000000"/>
                </a:solidFill>
                <a:latin typeface="Calibri"/>
              </a:rPr>
              <a:t>Структура и количество обращений, поступивших 
в администрацию города Бердска в III квартале 2024 года
в сравнении со II кварталом 2024 года и III кварталом 2023 года.</a:t>
            </a:r>
          </a:p>
        </c:rich>
      </c:tx>
      <c:layout>
        <c:manualLayout>
          <c:xMode val="edge"/>
          <c:yMode val="edge"/>
          <c:x val="0.168782850056103"/>
          <c:y val="1.5491866769945799E-3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8.1937499999999996E-2"/>
          <c:y val="0.29511111111111099"/>
          <c:w val="0.90674999999999994"/>
          <c:h val="0.502555555555555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III квартал 2024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1.0191437007873999E-2"/>
                  <c:y val="-2.35230842046384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3765292759737601E-3"/>
                  <c:y val="9.1433242975780303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540150202195E-2"/>
                  <c:y val="-8.3414755637297203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430300631831802E-3"/>
                  <c:y val="5.46448087431693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864829396325501E-2"/>
                  <c:y val="-1.04393098403683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1430</c:v>
                </c:pt>
                <c:pt idx="1">
                  <c:v>697</c:v>
                </c:pt>
                <c:pt idx="2">
                  <c:v>68</c:v>
                </c:pt>
                <c:pt idx="3">
                  <c:v>35</c:v>
                </c:pt>
                <c:pt idx="4">
                  <c:v>5</c:v>
                </c:pt>
                <c:pt idx="5">
                  <c:v>625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II квартал 2024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1.6175524934383199E-2"/>
                  <c:y val="-6.8972935760079201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2362204724409E-2"/>
                  <c:y val="-2.48870530527946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540150202195E-2"/>
                  <c:y val="-3.63796738522438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8648180242634E-2"/>
                  <c:y val="2.070267532347929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8648180242634E-2"/>
                  <c:y val="8.5768989696134695E-17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5636664304275002E-3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1252</c:v>
                </c:pt>
                <c:pt idx="1">
                  <c:v>670</c:v>
                </c:pt>
                <c:pt idx="2">
                  <c:v>48</c:v>
                </c:pt>
                <c:pt idx="3">
                  <c:v>62</c:v>
                </c:pt>
                <c:pt idx="4">
                  <c:v>11</c:v>
                </c:pt>
                <c:pt idx="5">
                  <c:v>461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III квартал 2023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2.5920386734525E-2"/>
                  <c:y val="1.4789678307387401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97227036395201E-2"/>
                  <c:y val="2.6689901467234602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540150202195E-2"/>
                  <c:y val="1.82135020007745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486424032351199E-2"/>
                  <c:y val="1.64249960558209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5540150202195E-2"/>
                  <c:y val="7.8611075254937397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5837467517127E-2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  <c:pt idx="5">
                  <c:v>ПОС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1109</c:v>
                </c:pt>
                <c:pt idx="1">
                  <c:v>737</c:v>
                </c:pt>
                <c:pt idx="2">
                  <c:v>48</c:v>
                </c:pt>
                <c:pt idx="3">
                  <c:v>25</c:v>
                </c:pt>
                <c:pt idx="4">
                  <c:v>3</c:v>
                </c:pt>
                <c:pt idx="5">
                  <c:v>296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5511056"/>
        <c:axId val="505508336"/>
        <c:axId val="0"/>
      </c:bar3DChart>
      <c:catAx>
        <c:axId val="50551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7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05508336"/>
        <c:crosses val="autoZero"/>
        <c:auto val="1"/>
        <c:lblAlgn val="ctr"/>
        <c:lblOffset val="100"/>
        <c:noMultiLvlLbl val="0"/>
      </c:catAx>
      <c:valAx>
        <c:axId val="505508336"/>
        <c:scaling>
          <c:orientation val="minMax"/>
          <c:max val="1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05511056"/>
        <c:crosses val="autoZero"/>
        <c:crossBetween val="between"/>
        <c:majorUnit val="300"/>
      </c:valAx>
    </c:plotArea>
    <c:legend>
      <c:legendPos val="r"/>
      <c:layout>
        <c:manualLayout>
          <c:xMode val="edge"/>
          <c:yMode val="edge"/>
          <c:x val="0.75762499999999999"/>
          <c:y val="0.272555555555556"/>
          <c:w val="0.207637977373586"/>
          <c:h val="0.22058006445160599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1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2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200" b="1" strike="noStrike" spc="-1">
                <a:solidFill>
                  <a:srgbClr val="000000"/>
                </a:solidFill>
                <a:latin typeface="Calibri"/>
              </a:rPr>
              <a:t>Виды письменных обращений, поступивших в 
администрацию города Бердска в III квартале 2024 года
в сравнении сo II кварталом 2024 года и III кварталом 2023 года.
</a:t>
            </a:r>
          </a:p>
        </c:rich>
      </c:tx>
      <c:layout>
        <c:manualLayout>
          <c:xMode val="edge"/>
          <c:yMode val="edge"/>
          <c:x val="0.11061241363019"/>
          <c:y val="3.4527900507282001E-2"/>
        </c:manualLayout>
      </c:layout>
      <c:overlay val="0"/>
      <c:spPr>
        <a:noFill/>
        <a:ln w="0">
          <a:noFill/>
        </a:ln>
      </c:spPr>
    </c:title>
    <c:autoTitleDeleted val="0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7.7312500000000006E-2"/>
          <c:y val="0.31233333333333302"/>
          <c:w val="0.90443750000000001"/>
          <c:h val="0.55922222222222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III квартал 2024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9.2430300631831802E-3"/>
                  <c:y val="4.8618053178135301E-3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strike="noStrike" spc="-1">
                        <a:solidFill>
                          <a:srgbClr val="000000"/>
                        </a:solidFill>
                        <a:latin typeface="Calibri"/>
                      </a:rPr>
                      <a:t>663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175621028307299E-2"/>
                  <c:y val="1.76907373757767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486424032351199E-2"/>
                  <c:y val="9.156681501768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432120161756205E-3"/>
                  <c:y val="1.26226178249458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636</c:v>
                </c:pt>
                <c:pt idx="1">
                  <c:v>6</c:v>
                </c:pt>
                <c:pt idx="2">
                  <c:v>25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II квартал 2024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1.61754390753149E-2"/>
                  <c:y val="8.6454410589980604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636071270999E-2"/>
                  <c:y val="-2.9578911331735699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1754390753149E-2"/>
                  <c:y val="3.72383886796758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432120161756205E-3"/>
                  <c:y val="9.1662672600706496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638</c:v>
                </c:pt>
                <c:pt idx="1">
                  <c:v>7</c:v>
                </c:pt>
                <c:pt idx="2">
                  <c:v>20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III квартал 2023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Lbl>
              <c:idx val="0"/>
              <c:layout>
                <c:manualLayout>
                  <c:x val="1.8258858267716501E-2"/>
                  <c:y val="-7.53178579950238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8180242634E-2"/>
                  <c:y val="-8.9567499714709592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8180242634E-2"/>
                  <c:y val="5.797101449275359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9324090121317197E-3"/>
                  <c:y val="8.434554376355129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Не обращение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676</c:v>
                </c:pt>
                <c:pt idx="1">
                  <c:v>18</c:v>
                </c:pt>
                <c:pt idx="2">
                  <c:v>39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5512144"/>
        <c:axId val="505505616"/>
        <c:axId val="0"/>
      </c:bar3DChart>
      <c:catAx>
        <c:axId val="50551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05505616"/>
        <c:crosses val="autoZero"/>
        <c:auto val="1"/>
        <c:lblAlgn val="ctr"/>
        <c:lblOffset val="100"/>
        <c:noMultiLvlLbl val="0"/>
      </c:catAx>
      <c:valAx>
        <c:axId val="505505616"/>
        <c:scaling>
          <c:orientation val="minMax"/>
          <c:max val="75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05512144"/>
        <c:crosses val="autoZero"/>
        <c:crossBetween val="between"/>
        <c:majorUnit val="150"/>
        <c:minorUnit val="5"/>
      </c:valAx>
    </c:plotArea>
    <c:legend>
      <c:legendPos val="r"/>
      <c:layout>
        <c:manualLayout>
          <c:xMode val="edge"/>
          <c:yMode val="edge"/>
          <c:x val="0.73856250000000001"/>
          <c:y val="0.32200000000000001"/>
          <c:w val="0.21513844615288499"/>
          <c:h val="0.26414046005111702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1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lang="ru-RU" sz="12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ru-RU" sz="1200" b="1" strike="noStrike" spc="-1">
                <a:solidFill>
                  <a:srgbClr val="000000"/>
                </a:solidFill>
                <a:latin typeface="Calibri"/>
              </a:rPr>
              <a:t>Тематика письменных обращений, поступивших в 
администрацию города Бердска в III квартале 2024 года
в сравнении сo II кварталом 2024 года и III кварталом 2023 года.
</a:t>
            </a:r>
          </a:p>
        </c:rich>
      </c:tx>
      <c:layout>
        <c:manualLayout>
          <c:xMode val="edge"/>
          <c:yMode val="edge"/>
          <c:x val="0.11952991200614201"/>
          <c:y val="1.19994000299985E-3"/>
        </c:manualLayout>
      </c:layout>
      <c:overlay val="0"/>
      <c:spPr>
        <a:noFill/>
        <a:ln w="0">
          <a:noFill/>
        </a:ln>
      </c:spPr>
    </c:title>
    <c:autoTitleDeleted val="0"/>
    <c:view3D>
      <c:rotX val="90"/>
      <c:rotY val="45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6.6312499999999996E-2"/>
          <c:y val="0.32844444444444398"/>
          <c:w val="0.90443750000000001"/>
          <c:h val="0.415666666666667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III квартал 2024 г.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-6.1369075189127197E-4"/>
                  <c:y val="1.4664842937237001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9256889763779492E-3"/>
                  <c:y val="3.17084410250245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5832337106648098E-2"/>
                  <c:y val="1.8240497090579001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19717847769E-2"/>
                  <c:y val="-1.19079345850999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5608595800524892E-3"/>
                  <c:y val="-4.8827229929592096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90</c:v>
                </c:pt>
                <c:pt idx="1">
                  <c:v>56</c:v>
                </c:pt>
                <c:pt idx="2">
                  <c:v>392</c:v>
                </c:pt>
                <c:pt idx="3">
                  <c:v>40</c:v>
                </c:pt>
                <c:pt idx="4">
                  <c:v>192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II квартал 2024 г.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9.3598815130833991E-3"/>
                  <c:y val="3.5225375930918998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6981627296587897E-3"/>
                  <c:y val="4.79212999138466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0938598069907304E-3"/>
                  <c:y val="-1.7308659999858401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4704724409448802E-3"/>
                  <c:y val="-6.8783068783068797E-4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4092355643044599E-2"/>
                  <c:y val="-1.18151897679457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98</c:v>
                </c:pt>
                <c:pt idx="1">
                  <c:v>52</c:v>
                </c:pt>
                <c:pt idx="2">
                  <c:v>357</c:v>
                </c:pt>
                <c:pt idx="3">
                  <c:v>21</c:v>
                </c:pt>
                <c:pt idx="4">
                  <c:v>217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III квартал 2023 г.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1.38648180242634E-2"/>
                  <c:y val="4.592260269791859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814960629921E-2"/>
                  <c:y val="2.82333939026852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797244094488201E-2"/>
                  <c:y val="0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4706364829396303E-3"/>
                  <c:y val="2.1314002416364598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7139107611549E-2"/>
                  <c:y val="4.8666626595339699E-3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59</c:v>
                </c:pt>
                <c:pt idx="1">
                  <c:v>106</c:v>
                </c:pt>
                <c:pt idx="2">
                  <c:v>467</c:v>
                </c:pt>
                <c:pt idx="3">
                  <c:v>37</c:v>
                </c:pt>
                <c:pt idx="4">
                  <c:v>224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5518672"/>
        <c:axId val="505512688"/>
        <c:axId val="0"/>
      </c:bar3DChart>
      <c:catAx>
        <c:axId val="50551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58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05512688"/>
        <c:crosses val="autoZero"/>
        <c:auto val="1"/>
        <c:lblAlgn val="ctr"/>
        <c:lblOffset val="100"/>
        <c:noMultiLvlLbl val="0"/>
      </c:catAx>
      <c:valAx>
        <c:axId val="505512688"/>
        <c:scaling>
          <c:orientation val="minMax"/>
          <c:max val="500"/>
          <c:min val="0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;[Red]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505518672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80062500000000003"/>
          <c:y val="0.20388888888888901"/>
          <c:w val="0.18601162572660801"/>
          <c:h val="0.19702189132125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1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9B5C-45B0-46AC-8FAB-8C6848B9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subject/>
  <dc:creator>Shalgunova</dc:creator>
  <dc:description/>
  <cp:lastModifiedBy>Виктория Игоревна Шлюндт</cp:lastModifiedBy>
  <cp:revision>2</cp:revision>
  <cp:lastPrinted>2024-11-07T16:30:00Z</cp:lastPrinted>
  <dcterms:created xsi:type="dcterms:W3CDTF">2024-11-21T03:19:00Z</dcterms:created>
  <dcterms:modified xsi:type="dcterms:W3CDTF">2024-11-21T03:19:00Z</dcterms:modified>
  <dc:language>ru-RU</dc:language>
</cp:coreProperties>
</file>