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54:</w:t>
      </w:r>
      <w:r>
        <w:rPr>
          <w:sz w:val="28"/>
          <w:szCs w:val="28"/>
        </w:rPr>
        <w:t>32:010197:628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разрешение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sz w:val="28"/>
          <w:szCs w:val="28"/>
        </w:rPr>
        <w:t xml:space="preserve">54:32:010197:628, общей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в пойме реки Раздельная (в районе автодрома) </w:t>
      </w:r>
      <w:r>
        <w:rPr>
          <w:rFonts w:cs="Times New Roman" w:ascii="Times New Roman" w:hAnsi="Times New Roman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 w:ascii="Times New Roman" w:hAnsi="Times New Roman"/>
          <w:sz w:val="28"/>
          <w:szCs w:val="28"/>
        </w:rPr>
        <w:t>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      Р.В. Бурдин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разрешение на условно разрешенный вид использования земельного участка с кадастровым номером </w:t>
      </w:r>
      <w:r>
        <w:rPr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54:32:010197:628, общей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990</w:t>
      </w:r>
      <w:r>
        <w:rPr>
          <w:rFonts w:cs="Times New Roman" w:ascii="Times New Roman" w:hAnsi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в пойме реки Раздельная (в районе автодрома) </w:t>
      </w:r>
      <w:r>
        <w:rPr>
          <w:rFonts w:cs="Times New Roman" w:ascii="Times New Roman" w:hAnsi="Times New Roman"/>
          <w:sz w:val="28"/>
          <w:szCs w:val="28"/>
        </w:rPr>
        <w:t>-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индивидуального жилищного строительства</w:t>
      </w:r>
      <w:r>
        <w:rPr>
          <w:rFonts w:cs="Times New Roman" w:ascii="Times New Roman" w:hAnsi="Times New Roman"/>
          <w:sz w:val="28"/>
          <w:szCs w:val="28"/>
        </w:rPr>
        <w:t>» кодовое обозначение 2.1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-62230</wp:posOffset>
            </wp:positionH>
            <wp:positionV relativeFrom="paragraph">
              <wp:posOffset>30480</wp:posOffset>
            </wp:positionV>
            <wp:extent cx="6299835" cy="408749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LibreOffice/24.2.4.2$Linux_X86_64 LibreOffice_project/51a6219feb6075d9a4c46691dcfe0cd9c4fff3c2</Application>
  <AppVersion>15.0000</AppVersion>
  <Pages>2</Pages>
  <Words>255</Words>
  <Characters>1982</Characters>
  <CharactersWithSpaces>2319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2024-11-20T08:41:46Z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