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BC" w:rsidRDefault="0053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Бердска Новосибирской области в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квартале 2024 года, и результаты их рассмотрения</w:t>
      </w:r>
    </w:p>
    <w:p w:rsidR="001344BC" w:rsidRDefault="001344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344BC" w:rsidRDefault="005327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</w:t>
      </w:r>
      <w:r>
        <w:rPr>
          <w:rFonts w:ascii="Times New Roman" w:hAnsi="Times New Roman"/>
          <w:sz w:val="28"/>
          <w:szCs w:val="20"/>
          <w:lang w:eastAsia="ru-RU"/>
        </w:rPr>
        <w:t xml:space="preserve">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осуществляет отдел общественной приемной Главы города Бердска </w:t>
      </w:r>
      <w:r>
        <w:rPr>
          <w:rFonts w:ascii="Times New Roman" w:hAnsi="Times New Roman"/>
          <w:sz w:val="28"/>
          <w:szCs w:val="28"/>
        </w:rPr>
        <w:t>управления документационного о</w:t>
      </w:r>
      <w:r>
        <w:rPr>
          <w:rFonts w:ascii="Times New Roman" w:hAnsi="Times New Roman"/>
          <w:sz w:val="28"/>
          <w:szCs w:val="28"/>
        </w:rPr>
        <w:t>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1344BC" w:rsidRDefault="001344BC">
      <w:pPr>
        <w:spacing w:after="0" w:line="240" w:lineRule="auto"/>
        <w:ind w:firstLine="851"/>
        <w:jc w:val="both"/>
        <w:rPr>
          <w:rFonts w:ascii="Times New Roman" w:hAnsi="Times New Roman"/>
          <w:color w:val="C9211E"/>
          <w:sz w:val="28"/>
          <w:szCs w:val="20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Главе города Бердска, заместителям главы администрации поступило 1357 обращений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1430</w:t>
      </w:r>
      <w:r>
        <w:rPr>
          <w:rFonts w:ascii="Times New Roman" w:hAnsi="Times New Roman"/>
          <w:i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обращений,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1012 обращений)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>:</w:t>
      </w:r>
    </w:p>
    <w:p w:rsidR="001344BC" w:rsidRDefault="005327B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598 – 44% 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697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49%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584 обращения – 58%)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344BC" w:rsidRDefault="005327B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обращений на личном приеме граждан Главой города, заместителями главы администрации – 47 – 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68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обращений – 4%,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54 обращения – 5%);</w:t>
      </w:r>
    </w:p>
    <w:p w:rsidR="001344BC" w:rsidRDefault="005327B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устных сообщений по справочному телефону – 54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35 сообщений – 2%,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82 сообщения – 8%)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344BC" w:rsidRDefault="005327B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общественной прием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Главы города, требующих принятия мер – 4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5 обращений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12 обращений – 1%);</w:t>
      </w:r>
    </w:p>
    <w:p w:rsidR="001344BC" w:rsidRDefault="005327B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сообщений через цифровую платформу обратной связи – подсистему Единого портала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(ПОС) – 654 – 48%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625 – 44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280 – 28%).</w:t>
      </w:r>
    </w:p>
    <w:p w:rsidR="001344BC" w:rsidRDefault="001344BC">
      <w:pPr>
        <w:widowControl w:val="0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324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44BC" w:rsidRDefault="005327BC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(1430 обращений)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уменьшилось </w:t>
      </w:r>
      <w:r>
        <w:rPr>
          <w:rFonts w:ascii="Times New Roman" w:hAnsi="Times New Roman"/>
          <w:color w:val="000000"/>
          <w:sz w:val="28"/>
          <w:szCs w:val="28"/>
        </w:rPr>
        <w:t>на 5</w:t>
      </w:r>
      <w:r>
        <w:rPr>
          <w:rFonts w:ascii="Times New Roman" w:hAnsi="Times New Roman"/>
          <w:color w:val="000000"/>
          <w:sz w:val="28"/>
          <w:szCs w:val="28"/>
        </w:rPr>
        <w:t>% (на 73 обращения).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2023 года (1012 обращений)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2023 года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увеличилось </w:t>
      </w:r>
      <w:r>
        <w:rPr>
          <w:rFonts w:ascii="Times New Roman" w:hAnsi="Times New Roman"/>
          <w:color w:val="000000"/>
          <w:sz w:val="28"/>
          <w:szCs w:val="28"/>
        </w:rPr>
        <w:t>на 34% (на 345 обращений).</w:t>
      </w:r>
    </w:p>
    <w:p w:rsidR="001344BC" w:rsidRDefault="001344BC">
      <w:pPr>
        <w:spacing w:after="0" w:line="240" w:lineRule="auto"/>
        <w:rPr>
          <w:color w:val="000000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Письменные обращения граждан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Главе города Бердска, заместителям главы администрации поступило 598 письменных обращений и запросов, в том числе в форме электронного документа через официальный сайт администрации города Бердска 241 обращений – 40%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4 года – 697, в том числе в форме электронного документа – 261 обращение – 37%,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584, в том числе в форме электронного документа – 214 обращений – 37%).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количество письменных обращений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уменьшилось </w:t>
      </w:r>
      <w:r>
        <w:rPr>
          <w:rFonts w:ascii="Times New Roman" w:hAnsi="Times New Roman"/>
          <w:color w:val="000000"/>
          <w:sz w:val="28"/>
          <w:szCs w:val="28"/>
        </w:rPr>
        <w:t>на 14% (на 99 обращений).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2023 года количество письменных обращений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увеличилось </w:t>
      </w:r>
      <w:r>
        <w:rPr>
          <w:rFonts w:ascii="Times New Roman" w:hAnsi="Times New Roman"/>
          <w:color w:val="000000"/>
          <w:sz w:val="28"/>
          <w:szCs w:val="28"/>
        </w:rPr>
        <w:t>на 2% (на 14 обращений).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заявления – 553 – 92%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663 – 94%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560 – 96%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жалобы – 5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запросы – 32 – 6%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4%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 – 2%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 обращения – 8 – 1% (благодарности, приглашения и т.п.)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200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4BC" w:rsidRDefault="001344BC">
      <w:pPr>
        <w:spacing w:after="0" w:line="240" w:lineRule="auto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1344BC">
      <w:pPr>
        <w:spacing w:after="0" w:line="240" w:lineRule="auto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1344BC">
      <w:pPr>
        <w:spacing w:after="0" w:line="240" w:lineRule="auto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поступившие обращения граждан были направлены на рассмотрение в администрацию города Бердска: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72 - из федеральных органов исполнительной власти и исполнительных органов государственной власти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- 71 - из Управления по работе с обращениями граждан – общественной приемной Губернатора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- 37 -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из прокуратуры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города Бердска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- 11 - из иных органов местного самоуправления Новосибирской области;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- 1 - от Уполномоченного по правам человека в Новосибирской области;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- 1 - от Уполномоченного по правам ребенка в Новосибирской области;</w:t>
      </w:r>
    </w:p>
    <w:p w:rsidR="001344BC" w:rsidRDefault="005327BC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- 405 – непосредственно от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жителей 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598 письменных обращениях содержится 656 вопросов, относящихся к следующим тематическим разделам: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spacing w:line="240" w:lineRule="auto"/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44BC" w:rsidRDefault="005327BC">
      <w:pPr>
        <w:spacing w:after="0" w:line="240" w:lineRule="auto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99 – 15%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204 года – 90 – 12%,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76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12%)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конституционный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строй (61); основы государственного управления (30);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гражданское право (8). </w:t>
      </w:r>
    </w:p>
    <w:p w:rsidR="001344BC" w:rsidRDefault="001344B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сфере государства, общества и политики для жителей являются: предоставление (разъяснение) информации;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результаты рассмотрения обращения;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де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ятельность испо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лнительно-распорядительных органов местного самоуправления. </w:t>
      </w:r>
    </w:p>
    <w:p w:rsidR="001344BC" w:rsidRDefault="001344BC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tbl>
      <w:tblPr>
        <w:tblStyle w:val="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4966"/>
        <w:gridCol w:w="1417"/>
        <w:gridCol w:w="1418"/>
        <w:gridCol w:w="1417"/>
      </w:tblGrid>
      <w:tr w:rsidR="001344BC">
        <w:trPr>
          <w:trHeight w:val="415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496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0"/>
              </w:rPr>
              <w:t>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года</w:t>
            </w:r>
          </w:p>
        </w:tc>
        <w:tc>
          <w:tcPr>
            <w:tcW w:w="141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color w:val="000000"/>
                <w:sz w:val="20"/>
              </w:rPr>
              <w:t>квартал 2024 года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000000"/>
                <w:sz w:val="20"/>
              </w:rPr>
              <w:t>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года</w:t>
            </w:r>
          </w:p>
        </w:tc>
      </w:tr>
      <w:tr w:rsidR="001344BC">
        <w:trPr>
          <w:trHeight w:val="284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96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(разъяснение) информации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1344BC">
        <w:trPr>
          <w:trHeight w:val="284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96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Результаты рассмотрения обращения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1344BC">
        <w:trPr>
          <w:trHeight w:val="284"/>
        </w:trPr>
        <w:tc>
          <w:tcPr>
            <w:tcW w:w="421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966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Деятельность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</w:tbl>
    <w:p w:rsidR="001344BC" w:rsidRDefault="001344BC">
      <w:pPr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65 – 10%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56 – 7%,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69 – 11%) – образование (21); социальное обеспечение (19); здравоохранение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(16); труд и занятость населения (4); семья (3); физическая культура и спорт (2).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6"/>
          <w:szCs w:val="26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lastRenderedPageBreak/>
        <w:t>Акту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альными вопросами в социальной сфере для жителей являются: социальное обеспечение, социальная поддержка и социальная помощь семьям, имеющим детей, в том числе многодетны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м семьям и одиноким родителям, гражданам пожилого возраста, гражданам, находящимся в трудной жизненной ситуации, малоимущим гражданам; санитарно-эпидемиологическое благополучие населения; контроль качества и надзор в сфере образования.</w:t>
      </w:r>
    </w:p>
    <w:p w:rsidR="001344BC" w:rsidRDefault="001344BC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tbl>
      <w:tblPr>
        <w:tblStyle w:val="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"/>
        <w:gridCol w:w="5106"/>
        <w:gridCol w:w="1415"/>
        <w:gridCol w:w="1416"/>
        <w:gridCol w:w="1281"/>
      </w:tblGrid>
      <w:tr w:rsidR="001344BC">
        <w:trPr>
          <w:trHeight w:val="415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510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вопр</w:t>
            </w:r>
            <w:r>
              <w:rPr>
                <w:rFonts w:ascii="Times New Roman" w:hAnsi="Times New Roman"/>
                <w:color w:val="000000"/>
                <w:sz w:val="20"/>
              </w:rPr>
              <w:t>осов</w:t>
            </w:r>
          </w:p>
        </w:tc>
        <w:tc>
          <w:tcPr>
            <w:tcW w:w="141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IV 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года</w:t>
            </w:r>
          </w:p>
        </w:tc>
        <w:tc>
          <w:tcPr>
            <w:tcW w:w="141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III 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года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IV 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года</w:t>
            </w:r>
          </w:p>
        </w:tc>
      </w:tr>
      <w:tr w:rsidR="001344BC">
        <w:trPr>
          <w:trHeight w:val="284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0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</w:t>
            </w:r>
            <w:r>
              <w:rPr>
                <w:rFonts w:ascii="Times New Roman" w:hAnsi="Times New Roman"/>
                <w:color w:val="000000"/>
                <w:sz w:val="20"/>
              </w:rPr>
              <w:t>находящимся в трудной жизненной ситуации, малоимущим гражданам</w:t>
            </w:r>
          </w:p>
        </w:tc>
        <w:tc>
          <w:tcPr>
            <w:tcW w:w="141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1344BC">
        <w:trPr>
          <w:trHeight w:val="284"/>
        </w:trPr>
        <w:tc>
          <w:tcPr>
            <w:tcW w:w="421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06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1344BC">
        <w:trPr>
          <w:trHeight w:val="284"/>
        </w:trPr>
        <w:tc>
          <w:tcPr>
            <w:tcW w:w="42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10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Контроль качества и надзор в сфере образования</w:t>
            </w:r>
          </w:p>
        </w:tc>
        <w:tc>
          <w:tcPr>
            <w:tcW w:w="141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41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</w:tbl>
    <w:p w:rsidR="001344BC" w:rsidRDefault="001344BC">
      <w:pPr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1344BC" w:rsidRDefault="005327BC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254 – 39%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392 – 51%,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276 – 42%) – хозяйственная деятельность (185):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строительство (29);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транспортное обслуживание населения (24); комплексное благоустройство (23); благоустройство и ремонт подъездных дорог и тротуаров (20); уборка снега, мусора и посторон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них предметов (19); уличное освещение (11); торговля (8); водоотведение (7);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дорожные знаки и дорожная разметка (6);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содержание транспортной инфраструктуры (6); </w:t>
      </w:r>
      <w:r>
        <w:rPr>
          <w:rFonts w:ascii="Times New Roman" w:hAnsi="Times New Roman"/>
          <w:i/>
          <w:color w:val="000000"/>
          <w:sz w:val="26"/>
          <w:szCs w:val="26"/>
        </w:rPr>
        <w:t>парковки автотранспорта вне организованных автостоянок (5);</w:t>
      </w:r>
      <w:r>
        <w:rPr>
          <w:rFonts w:ascii="Arial" w:eastAsia="Microsoft YaHei" w:hAnsi="Arial" w:cs="Arial"/>
          <w:color w:val="000000"/>
          <w:lang w:eastAsia="ru-RU"/>
        </w:rPr>
        <w:t xml:space="preserve"> </w:t>
      </w:r>
      <w:r>
        <w:rPr>
          <w:rFonts w:ascii="Times New Roman" w:eastAsia="Microsoft YaHei" w:hAnsi="Times New Roman" w:cs="Arial"/>
          <w:i/>
          <w:color w:val="000000"/>
          <w:sz w:val="26"/>
          <w:szCs w:val="26"/>
          <w:lang w:eastAsia="ru-RU"/>
        </w:rPr>
        <w:t xml:space="preserve">содержание газового оборудования (4); организация мест детского массового отдыха (4); бытовое обслуживание населения (4); связь (4); сельское хозяйство (3); правила технической эксплуатации тепло- и электростанций (2); безопасность дорожного движения (2); </w:t>
      </w:r>
      <w:r>
        <w:rPr>
          <w:rFonts w:ascii="Times New Roman" w:eastAsia="Microsoft YaHei" w:hAnsi="Times New Roman" w:cs="Arial"/>
          <w:i/>
          <w:color w:val="000000"/>
          <w:sz w:val="26"/>
          <w:szCs w:val="26"/>
          <w:lang w:eastAsia="ru-RU"/>
        </w:rPr>
        <w:t xml:space="preserve">технологическое присоединение объектов заявителя к газораспределительным сетям (1); водоснабжение поселений (1); газификация поселений (1); выгул собак (1);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природные ресурсы и охрана окружающей среды (67):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земельные вопросы (51); использование, охрана, за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щита и воспроизводство лесов (11); охрана животного мира (5);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и информатизация (1):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запросы архивных данных (1);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финансы (1).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Актуальными вопросами в сфере экономики для жителей являются: земельные вопросы; строительство; транспортное обслужива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ние населения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535"/>
        <w:gridCol w:w="5096"/>
        <w:gridCol w:w="1419"/>
        <w:gridCol w:w="1422"/>
        <w:gridCol w:w="1275"/>
      </w:tblGrid>
      <w:tr w:rsidR="001344BC">
        <w:trPr>
          <w:trHeight w:val="476"/>
        </w:trPr>
        <w:tc>
          <w:tcPr>
            <w:tcW w:w="53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509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1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IV квартал 2024 года</w:t>
            </w:r>
          </w:p>
        </w:tc>
        <w:tc>
          <w:tcPr>
            <w:tcW w:w="1422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III квартал 2024 года</w:t>
            </w:r>
          </w:p>
        </w:tc>
        <w:tc>
          <w:tcPr>
            <w:tcW w:w="127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IV квартал 2023 года</w:t>
            </w:r>
          </w:p>
        </w:tc>
      </w:tr>
      <w:tr w:rsidR="001344BC">
        <w:trPr>
          <w:trHeight w:val="284"/>
        </w:trPr>
        <w:tc>
          <w:tcPr>
            <w:tcW w:w="53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09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Земельные вопросы</w:t>
            </w:r>
          </w:p>
        </w:tc>
        <w:tc>
          <w:tcPr>
            <w:tcW w:w="141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1422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</w:tr>
      <w:tr w:rsidR="001344BC">
        <w:trPr>
          <w:trHeight w:val="284"/>
        </w:trPr>
        <w:tc>
          <w:tcPr>
            <w:tcW w:w="535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096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Строительство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422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</w:tr>
      <w:tr w:rsidR="001344BC">
        <w:trPr>
          <w:trHeight w:val="284"/>
        </w:trPr>
        <w:tc>
          <w:tcPr>
            <w:tcW w:w="53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096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Транспортное обслуживание населения</w:t>
            </w:r>
          </w:p>
        </w:tc>
        <w:tc>
          <w:tcPr>
            <w:tcW w:w="141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422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</w:tr>
    </w:tbl>
    <w:p w:rsidR="001344BC" w:rsidRDefault="001344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36 – 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40 – 5%,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21 – 3%) 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оборона (20);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 и охрана правопорядка (14); прокуратура, органы юстиции (2).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сфере экономики для жителей являются: социальная защита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военнослужащих, охрана общественного порядка.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tbl>
      <w:tblPr>
        <w:tblStyle w:val="22"/>
        <w:tblW w:w="972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508"/>
        <w:gridCol w:w="5091"/>
        <w:gridCol w:w="1425"/>
        <w:gridCol w:w="1420"/>
        <w:gridCol w:w="1281"/>
      </w:tblGrid>
      <w:tr w:rsidR="001344BC">
        <w:trPr>
          <w:trHeight w:val="476"/>
        </w:trPr>
        <w:tc>
          <w:tcPr>
            <w:tcW w:w="50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509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2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 квартал 2024 года</w:t>
            </w:r>
          </w:p>
        </w:tc>
        <w:tc>
          <w:tcPr>
            <w:tcW w:w="142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 квартал 2024 года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 квартал 2023 года</w:t>
            </w:r>
          </w:p>
        </w:tc>
      </w:tr>
      <w:tr w:rsidR="001344BC">
        <w:trPr>
          <w:trHeight w:val="284"/>
        </w:trPr>
        <w:tc>
          <w:tcPr>
            <w:tcW w:w="50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09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Социальная защита военнослужащих</w:t>
            </w:r>
          </w:p>
        </w:tc>
        <w:tc>
          <w:tcPr>
            <w:tcW w:w="142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2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1344BC">
        <w:trPr>
          <w:trHeight w:val="284"/>
        </w:trPr>
        <w:tc>
          <w:tcPr>
            <w:tcW w:w="508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09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Охрана общественного порядка</w:t>
            </w:r>
          </w:p>
        </w:tc>
        <w:tc>
          <w:tcPr>
            <w:tcW w:w="1425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42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281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</w:tbl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C9211E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–коммунальная сфера» – 202 –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31%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192 – 25%,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208 – 32%)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коммунальное хозяйство (161):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коммунально-бытовое хозяйство и предоставление услуг в условиях рынка (50); содержание общего имущества (27); предоставление коммунальных услуг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ненадлежащего качества (15); обращение с твердыми коммунальными отходами (14);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перебои в теплоснабжении (10);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оплата жилищно-коммунальных услуг (8); деятельность управляющих компаний (7); несанкционированная свалка мусора (7);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перебои в электроснабжении (6);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устранение аварийных ситуаций на магистральных коммуникациях (6);  перебои в водоснабжении (3); нормативы потребления коммунальных услуг (2); приборы учета коммунальных ресурсов в жилищном фонде (1); отключение электроэнерг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ии за неуплату (1); ремонт муниципального имущества (1);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капитальный ремонт общего имущества (3);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 жилищного законодательства (20); обеспечение граждан жилищем (11); жилищный фонд (3); перевод помещений из жилых в нежилые (3); нежилые помеще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(2); разрешение жилищных споров (2).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Актуальными вопросами в жилищно-коммунальной сфере для жителей являются: коммунально-бытовое хозяйство и предоставление услуг в условиях рынка; содержание общего имущества; нормативно-правовое регулирование обеспеч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ения условий для осуществления гражданами права на жилище.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</w:p>
    <w:tbl>
      <w:tblPr>
        <w:tblStyle w:val="2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4839"/>
        <w:gridCol w:w="1424"/>
        <w:gridCol w:w="1417"/>
        <w:gridCol w:w="1559"/>
      </w:tblGrid>
      <w:tr w:rsidR="001344BC">
        <w:trPr>
          <w:trHeight w:val="476"/>
        </w:trPr>
        <w:tc>
          <w:tcPr>
            <w:tcW w:w="40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3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вопросов</w:t>
            </w:r>
          </w:p>
        </w:tc>
        <w:tc>
          <w:tcPr>
            <w:tcW w:w="1424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 2024 года</w:t>
            </w:r>
          </w:p>
        </w:tc>
        <w:tc>
          <w:tcPr>
            <w:tcW w:w="155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года</w:t>
            </w:r>
          </w:p>
        </w:tc>
      </w:tr>
      <w:tr w:rsidR="001344BC">
        <w:trPr>
          <w:trHeight w:val="281"/>
        </w:trPr>
        <w:tc>
          <w:tcPr>
            <w:tcW w:w="40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424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1344BC">
        <w:trPr>
          <w:trHeight w:val="284"/>
        </w:trPr>
        <w:tc>
          <w:tcPr>
            <w:tcW w:w="400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общего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424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1344BC">
        <w:trPr>
          <w:trHeight w:val="284"/>
        </w:trPr>
        <w:tc>
          <w:tcPr>
            <w:tcW w:w="400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9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424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344BC" w:rsidRDefault="005327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вопросов в письменных обращениях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увеличилось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разделе: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16% (на 9 вопросов);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государство, общество, политика на 10% (на 9 вопросов);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на 5% (на 10 вопросов).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разделе: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экономика на 35% (на 138 вопросов);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оборона, безопасность, законность на 10% (на 4 вопроса).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вопросов в письменных обращениях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разделах: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орона, безопасность, законность на 71% (на 15 вопросов);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государство, общество, политика на 30% (на 23 вопроса);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разделе: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экономика на 7% (на 22 вопроса);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социальная сфера на 5% (на 4 вопроса);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на 3% (на 6 вопросов).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всех письме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обращений, поступивших 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года:   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16 обращений – 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20 обращений – 3%,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3 обращения – 1%);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14 обращений – 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40 обращений – 6%,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2022 года – 33 обращения – 6%).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года:   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(предложение признано целесооб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разным, заявление или жалоба – обоснованными и подлежащими удовлетворению) – 6 обращений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 обращения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6 обращений – 1%);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566 обращений – 95%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68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9 обращений – 98%,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576 обращений – 98%).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перенаправлено по компетенции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26 обращений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ода – 4 обращения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2022 года – 2 обращения – 1%).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Личный прием граждан Главой города, заместителями главы администрации, руководителями структурных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подразделений администрации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Главой города Бердска, заместителями главы администрации и руководителями структурных подразделений администрации приняты 47 человек – 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68 человек – 4%,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ода – 54 человека – 7%).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31% (21 обращение).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13% (7 обращений). 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обращениях на личных приемах жителями было поднято 49 вопросов в тематических разделах: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(15);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(12);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(10);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сфера природных ресурсов (8);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государства, общества, поли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тики (3);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обороны, безопасности, законности (1).</w:t>
      </w:r>
    </w:p>
    <w:p w:rsidR="001344BC" w:rsidRDefault="001344BC">
      <w:pPr>
        <w:spacing w:after="0" w:line="240" w:lineRule="auto"/>
        <w:jc w:val="both"/>
        <w:rPr>
          <w:color w:val="C9211E"/>
        </w:rPr>
      </w:pPr>
    </w:p>
    <w:p w:rsidR="001344BC" w:rsidRDefault="005327BC">
      <w:pPr>
        <w:widowControl w:val="0"/>
        <w:shd w:val="clear" w:color="auto" w:fill="FFFFFF"/>
        <w:tabs>
          <w:tab w:val="left" w:pos="627"/>
        </w:tabs>
        <w:spacing w:after="0" w:line="240" w:lineRule="auto"/>
        <w:ind w:firstLine="6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:rsidR="001344BC" w:rsidRDefault="001344BC">
      <w:pPr>
        <w:widowControl w:val="0"/>
        <w:shd w:val="clear" w:color="auto" w:fill="FFFFFF"/>
        <w:tabs>
          <w:tab w:val="left" w:pos="627"/>
        </w:tabs>
        <w:spacing w:after="0" w:line="240" w:lineRule="auto"/>
        <w:ind w:firstLine="680"/>
        <w:jc w:val="both"/>
        <w:rPr>
          <w:color w:val="000000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Устные сообщения и запросы по справочному телефону отдела общественной приемной Главы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города</w:t>
      </w:r>
    </w:p>
    <w:p w:rsidR="001344BC" w:rsidRDefault="001344BC">
      <w:pPr>
        <w:widowControl w:val="0"/>
        <w:shd w:val="clear" w:color="auto" w:fill="FFFFFF"/>
        <w:spacing w:after="0" w:line="240" w:lineRule="auto"/>
        <w:ind w:left="311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по справочному телефону отдела общественной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приемной Главы города Бердска поступило 54 сообщения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35 сообщений – 2%,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82 сообщения – 11%)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в форме смс-сооб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щений – 1 сообщение – 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3 сообщения – 9%,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1 сообщение – 1%).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54% (19 обращений).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34% (28 сообщений).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города Бердска было поднято 71 вопрос в тематических разделах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сфера хозяйственной деятельности (29);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(23);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социальная сфера </w:t>
      </w:r>
      <w:r>
        <w:rPr>
          <w:rFonts w:ascii="Times New Roman" w:hAnsi="Times New Roman"/>
          <w:color w:val="000000"/>
          <w:sz w:val="28"/>
          <w:szCs w:val="28"/>
        </w:rPr>
        <w:t>(9);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(5);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государства, общества, политики (3);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обороны, безопасности, законности (2).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всем вопросам, содержащимся в устных сообщениях и запросах, предоставлена запрашиваемая информация, даны консультации и раз</w:t>
      </w:r>
      <w:r>
        <w:rPr>
          <w:rFonts w:ascii="Times New Roman" w:hAnsi="Times New Roman"/>
          <w:color w:val="000000"/>
          <w:sz w:val="28"/>
          <w:szCs w:val="28"/>
        </w:rPr>
        <w:t xml:space="preserve">ъяснения. 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отдела общественной приемной Главы города</w:t>
      </w:r>
    </w:p>
    <w:p w:rsidR="001344BC" w:rsidRDefault="001344BC">
      <w:pPr>
        <w:widowControl w:val="0"/>
        <w:shd w:val="clear" w:color="auto" w:fill="FFFFFF"/>
        <w:spacing w:after="0" w:line="240" w:lineRule="auto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в отдел общественной приемной Главы города Бердска поступило от жителей 4 личных обращения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5 обращений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12 обращений – 2%).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личных обращений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20% (1 обращение).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личных обращений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67% (8 обращений).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специалистам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отдела общественной приемной, жители обращались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  вопросам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поддержки волонтерского движения, записи на личный прием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должностным лицам, нарушениях при торговле алкогольной продукцией, уборки мусора.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всем вопросам, содер</w:t>
      </w:r>
      <w:r>
        <w:rPr>
          <w:rFonts w:ascii="Times New Roman" w:hAnsi="Times New Roman"/>
          <w:color w:val="000000"/>
          <w:sz w:val="28"/>
          <w:szCs w:val="28"/>
        </w:rPr>
        <w:t xml:space="preserve">жащимся в личных обращениях, </w:t>
      </w:r>
      <w:r>
        <w:rPr>
          <w:rFonts w:ascii="Times New Roman" w:hAnsi="Times New Roman"/>
          <w:color w:val="000000"/>
          <w:sz w:val="28"/>
          <w:szCs w:val="28"/>
        </w:rPr>
        <w:t>даны консультации и разъяснения.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1844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  Сообщения граждан через платформу обратной связи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через цифровую платформу обратной связи – подсистему Единого портала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Решаем вместе» (ПОС) в администрацию города Бердска было направ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лено 654 сообщения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625 сообщений,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280 сообщений).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электронных сообщений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5% (на 29 сообщений).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электронных сообщений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134% (на 374 сообщения).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Вопросы, поднимаемые жителями в электронных сообщениях, относятся к тематическим разделам: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(389);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(137);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жилищно-коммунальная сфера (99);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(26);</w:t>
      </w:r>
    </w:p>
    <w:p w:rsidR="001344BC" w:rsidRDefault="005327BC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сфера государства, общества и политики (3).</w:t>
      </w:r>
    </w:p>
    <w:p w:rsidR="001344BC" w:rsidRDefault="001344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меры, в том числе с указанием сроков выполнения работ.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ind w:left="2204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Мобильная группа Главы города Бердска</w:t>
      </w:r>
    </w:p>
    <w:p w:rsidR="001344BC" w:rsidRDefault="001344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мобильной группой было осуществлено 17 выездов, в ходе которых отработано 39 вопросов. По всем вопросам приняты меры и проверено качество выполненных работ.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44BC" w:rsidRDefault="005327BC">
      <w:pPr>
        <w:widowControl w:val="0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Уведомления о проведении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публичных мероприятий</w:t>
      </w:r>
    </w:p>
    <w:p w:rsidR="001344BC" w:rsidRDefault="001344B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состоялось 3 публичных мероприятия, заявленных по инициативе граждан: </w:t>
      </w:r>
      <w:r>
        <w:rPr>
          <w:rFonts w:ascii="Times New Roman" w:hAnsi="Times New Roman"/>
          <w:color w:val="000000"/>
          <w:sz w:val="28"/>
          <w:szCs w:val="28"/>
        </w:rPr>
        <w:t>в форме пикета (1), митинга (1) и автопробега (1)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Фактов нарушения общественного порядка при проведении заявленных публичных мероприятий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зафиксировано. </w:t>
      </w:r>
      <w:r>
        <w:rPr>
          <w:rFonts w:ascii="Times New Roman" w:hAnsi="Times New Roman"/>
          <w:color w:val="000000"/>
          <w:sz w:val="28"/>
          <w:szCs w:val="28"/>
        </w:rPr>
        <w:t>Иных уведомлений о проведении публичных мероприятий, в том числе протестных акций, не поступало.</w:t>
      </w:r>
    </w:p>
    <w:p w:rsidR="001344BC" w:rsidRDefault="005327BC">
      <w:pPr>
        <w:spacing w:after="0" w:line="240" w:lineRule="auto"/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4BC">
      <w:headerReference w:type="even" r:id="rId13"/>
      <w:headerReference w:type="default" r:id="rId14"/>
      <w:headerReference w:type="first" r:id="rId15"/>
      <w:pgSz w:w="11906" w:h="16838"/>
      <w:pgMar w:top="851" w:right="849" w:bottom="709" w:left="1418" w:header="708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27BC">
      <w:pPr>
        <w:spacing w:after="0" w:line="240" w:lineRule="auto"/>
      </w:pPr>
      <w:r>
        <w:separator/>
      </w:r>
    </w:p>
  </w:endnote>
  <w:endnote w:type="continuationSeparator" w:id="0">
    <w:p w:rsidR="00000000" w:rsidRDefault="0053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27BC">
      <w:pPr>
        <w:spacing w:after="0" w:line="240" w:lineRule="auto"/>
      </w:pPr>
      <w:r>
        <w:separator/>
      </w:r>
    </w:p>
  </w:footnote>
  <w:footnote w:type="continuationSeparator" w:id="0">
    <w:p w:rsidR="00000000" w:rsidRDefault="0053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BC" w:rsidRDefault="001344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BC" w:rsidRDefault="001344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BC" w:rsidRDefault="001344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857"/>
    <w:multiLevelType w:val="multilevel"/>
    <w:tmpl w:val="21169BD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710E5F"/>
    <w:multiLevelType w:val="multilevel"/>
    <w:tmpl w:val="21BEE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BC"/>
    <w:rsid w:val="001344BC"/>
    <w:rsid w:val="005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5109C-4D2F-455E-96D4-59A1351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0056"/>
    <w:rPr>
      <w:rFonts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F27494"/>
    <w:rPr>
      <w:lang w:eastAsia="en-US"/>
    </w:rPr>
  </w:style>
  <w:style w:type="character" w:customStyle="1" w:styleId="gwt-inlinelabel">
    <w:name w:val="gwt-inlinelabel"/>
    <w:basedOn w:val="a0"/>
    <w:qFormat/>
    <w:rsid w:val="00AB61BB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"/>
    <w:basedOn w:val="a4"/>
    <w:rPr>
      <w:rFonts w:cs="Droid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f0">
    <w:name w:val="index heading"/>
    <w:basedOn w:val="a"/>
    <w:qFormat/>
    <w:pPr>
      <w:suppressLineNumbers/>
    </w:pPr>
    <w:rPr>
      <w:rFonts w:cs="Droid Sans"/>
    </w:rPr>
  </w:style>
  <w:style w:type="paragraph" w:customStyle="1" w:styleId="BodyTextIndented">
    <w:name w:val="Body Text;Indented"/>
    <w:basedOn w:val="a"/>
    <w:link w:val="a5"/>
    <w:uiPriority w:val="99"/>
    <w:qFormat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qFormat/>
    <w:rsid w:val="00D00056"/>
    <w:pPr>
      <w:overflowPunct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D00056"/>
    <w:pPr>
      <w:overflowPunct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Знак"/>
    <w:basedOn w:val="a"/>
    <w:uiPriority w:val="99"/>
    <w:qFormat/>
    <w:rsid w:val="00D00056"/>
    <w:pPr>
      <w:widowControl w:val="0"/>
      <w:spacing w:beforeAutospacing="1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qFormat/>
    <w:rsid w:val="00D00056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9"/>
    <w:uiPriority w:val="99"/>
    <w:semiHidden/>
    <w:qFormat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uiPriority w:val="99"/>
    <w:qFormat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b"/>
    <w:uiPriority w:val="99"/>
    <w:unhideWhenUsed/>
    <w:rsid w:val="00F27494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16736F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59"/>
    <w:rsid w:val="009C58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664E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64E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IV квартале 2024 года
в сравнении с III кварталом 2024 года и IV кварталом 2023 года.</a:t>
            </a:r>
          </a:p>
        </c:rich>
      </c:tx>
      <c:layout>
        <c:manualLayout>
          <c:xMode val="edge"/>
          <c:yMode val="edge"/>
          <c:x val="0.16831039981102"/>
          <c:y val="1.5491866769945799E-3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8.1937499999999996E-2"/>
          <c:y val="0.29511111111111099"/>
          <c:w val="0.90674999999999994"/>
          <c:h val="0.502555555555555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IV квартал 2024г.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8581036745406801E-3"/>
                  <c:y val="3.11217245385309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5472440944878102E-4"/>
                  <c:y val="9.14332429757706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-8.3414755637297203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0300631831802E-3"/>
                  <c:y val="5.46448087431693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64829396325501E-2"/>
                  <c:y val="-1.04393098403683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1.30151843817787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1357</c:v>
                </c:pt>
                <c:pt idx="1">
                  <c:v>598</c:v>
                </c:pt>
                <c:pt idx="2">
                  <c:v>47</c:v>
                </c:pt>
                <c:pt idx="3">
                  <c:v>54</c:v>
                </c:pt>
                <c:pt idx="4">
                  <c:v>4</c:v>
                </c:pt>
                <c:pt idx="5">
                  <c:v>654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III квартал 2024г.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6175524934383199E-2"/>
                  <c:y val="-6.8972935760079201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2362204724409E-2"/>
                  <c:y val="-2.4887053052794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-3.63796738522438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8648180242634E-2"/>
                  <c:y val="2.07026753234792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648180242634E-2"/>
                  <c:y val="8.5768989696134695E-17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5837467517127E-2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1430</c:v>
                </c:pt>
                <c:pt idx="1">
                  <c:v>697</c:v>
                </c:pt>
                <c:pt idx="2">
                  <c:v>68</c:v>
                </c:pt>
                <c:pt idx="3">
                  <c:v>35</c:v>
                </c:pt>
                <c:pt idx="4">
                  <c:v>5</c:v>
                </c:pt>
                <c:pt idx="5">
                  <c:v>625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IV квартал 2023г.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6175524934383199E-2"/>
                  <c:y val="-1.20154038122284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97227036395201E-2"/>
                  <c:y val="2.668990146723460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1.82135020007745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486424032351199E-2"/>
                  <c:y val="1.64249960558209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5540150202195E-2"/>
                  <c:y val="7.8611075254937397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954169619655101E-2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1012</c:v>
                </c:pt>
                <c:pt idx="1">
                  <c:v>584</c:v>
                </c:pt>
                <c:pt idx="2">
                  <c:v>54</c:v>
                </c:pt>
                <c:pt idx="3">
                  <c:v>82</c:v>
                </c:pt>
                <c:pt idx="4">
                  <c:v>12</c:v>
                </c:pt>
                <c:pt idx="5">
                  <c:v>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6907696"/>
        <c:axId val="1850022928"/>
        <c:axId val="0"/>
      </c:bar3DChart>
      <c:catAx>
        <c:axId val="193690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7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850022928"/>
        <c:crosses val="autoZero"/>
        <c:auto val="1"/>
        <c:lblAlgn val="ctr"/>
        <c:lblOffset val="100"/>
        <c:noMultiLvlLbl val="0"/>
      </c:catAx>
      <c:valAx>
        <c:axId val="1850022928"/>
        <c:scaling>
          <c:orientation val="minMax"/>
          <c:max val="1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36907696"/>
        <c:crosses val="autoZero"/>
        <c:crossBetween val="between"/>
        <c:majorUnit val="300"/>
      </c:valAx>
    </c:plotArea>
    <c:legend>
      <c:legendPos val="r"/>
      <c:layout>
        <c:manualLayout>
          <c:xMode val="edge"/>
          <c:yMode val="edge"/>
          <c:x val="0.78100000000000003"/>
          <c:y val="0.23799999999999999"/>
          <c:w val="0.20757547346709199"/>
          <c:h val="0.220468940993444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IV квартале 2024 года
в сравнении с III кварталом 2024 года и IV кварталом 2023 года.
</a:t>
            </a:r>
          </a:p>
        </c:rich>
      </c:tx>
      <c:layout>
        <c:manualLayout>
          <c:xMode val="edge"/>
          <c:yMode val="edge"/>
          <c:x val="0.109844681981929"/>
          <c:y val="3.4527900507282001E-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7.7312500000000006E-2"/>
          <c:y val="0.31233333333333302"/>
          <c:w val="0.90443750000000001"/>
          <c:h val="0.55922222222222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IV квартал 2024г.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9.0977690288713902E-4"/>
                  <c:y val="4.861210530501870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75621028307299E-2"/>
                  <c:y val="1.76907373757767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486424032351199E-2"/>
                  <c:y val="9.156681501768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2120161756205E-3"/>
                  <c:y val="1.2622617824945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553</c:v>
                </c:pt>
                <c:pt idx="1">
                  <c:v>5</c:v>
                </c:pt>
                <c:pt idx="2">
                  <c:v>32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III квартал 2024г.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1.61754390753149E-2"/>
                  <c:y val="8.6454410589980604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636071270999E-2"/>
                  <c:y val="-2.9578911331735699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1754390753149E-2"/>
                  <c:y val="3.72383886796758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2120161756205E-3"/>
                  <c:y val="9.166267260070649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663</c:v>
                </c:pt>
                <c:pt idx="1">
                  <c:v>6</c:v>
                </c:pt>
                <c:pt idx="2">
                  <c:v>25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IV квартал 2023г.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1.8258858267716501E-2"/>
                  <c:y val="-7.53178579950238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8180242634E-2"/>
                  <c:y val="-8.956749971470959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8180242634E-2"/>
                  <c:y val="5.7971014492753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9324090121317197E-3"/>
                  <c:y val="8.43455437635512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560</c:v>
                </c:pt>
                <c:pt idx="1">
                  <c:v>7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1935408"/>
        <c:axId val="1951930512"/>
        <c:axId val="0"/>
      </c:bar3DChart>
      <c:catAx>
        <c:axId val="195193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51930512"/>
        <c:crosses val="autoZero"/>
        <c:auto val="1"/>
        <c:lblAlgn val="ctr"/>
        <c:lblOffset val="100"/>
        <c:noMultiLvlLbl val="0"/>
      </c:catAx>
      <c:valAx>
        <c:axId val="1951930512"/>
        <c:scaling>
          <c:orientation val="minMax"/>
          <c:max val="7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51935408"/>
        <c:crosses val="autoZero"/>
        <c:crossBetween val="between"/>
        <c:majorUnit val="100"/>
        <c:minorUnit val="3.3333333333333299"/>
      </c:valAx>
    </c:plotArea>
    <c:legend>
      <c:legendPos val="r"/>
      <c:layout>
        <c:manualLayout>
          <c:xMode val="edge"/>
          <c:yMode val="edge"/>
          <c:x val="0.73856250000000001"/>
          <c:y val="0.29066666666666702"/>
          <c:w val="0.21507594224639001"/>
          <c:h val="0.2641404600511170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Тематика письменных обращений, поступивших в 
администрацию города Бердска в IV квартале 2024 года
в сравнении с III кварталом 2024 года и IV кварталом 2023 года.
</a:t>
            </a:r>
          </a:p>
        </c:rich>
      </c:tx>
      <c:layout>
        <c:manualLayout>
          <c:xMode val="edge"/>
          <c:yMode val="edge"/>
          <c:x val="0.119175574322329"/>
          <c:y val="1.19994000299985E-3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6.6312499999999996E-2"/>
          <c:y val="0.32844444444444398"/>
          <c:w val="0.90443750000000001"/>
          <c:h val="0.41566666666666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IV квартал 2024г.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1.40921916010499E-2"/>
                  <c:y val="5.363912844227810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9256889763779492E-3"/>
                  <c:y val="3.1708441025024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0108267716543E-3"/>
                  <c:y val="1.92934216556263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19717847769E-2"/>
                  <c:y val="-1.19079345850999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5608595800524892E-3"/>
                  <c:y val="-4.882722992959209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99</c:v>
                </c:pt>
                <c:pt idx="1">
                  <c:v>65</c:v>
                </c:pt>
                <c:pt idx="2">
                  <c:v>254</c:v>
                </c:pt>
                <c:pt idx="3">
                  <c:v>36</c:v>
                </c:pt>
                <c:pt idx="4">
                  <c:v>202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III квартал 2024г.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1.17813320209974E-2"/>
                  <c:y val="1.0219555888847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6981627296587897E-3"/>
                  <c:y val="4.79212999138466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175688976378E-2"/>
                  <c:y val="-8.03149606299212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4704724409448802E-3"/>
                  <c:y val="-6.8783068783068797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4092355643044599E-2"/>
                  <c:y val="-1.1815189767945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90</c:v>
                </c:pt>
                <c:pt idx="1">
                  <c:v>56</c:v>
                </c:pt>
                <c:pt idx="2">
                  <c:v>392</c:v>
                </c:pt>
                <c:pt idx="3">
                  <c:v>40</c:v>
                </c:pt>
                <c:pt idx="4">
                  <c:v>192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IV квартал 2023г.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1.38648180242634E-2"/>
                  <c:y val="4.5922602697918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814960629921E-2"/>
                  <c:y val="2.8233393902685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797244094488201E-2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4706364829396303E-3"/>
                  <c:y val="2.1314002416364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7139107611549E-2"/>
                  <c:y val="4.86666265953396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76</c:v>
                </c:pt>
                <c:pt idx="1">
                  <c:v>69</c:v>
                </c:pt>
                <c:pt idx="2">
                  <c:v>276</c:v>
                </c:pt>
                <c:pt idx="3">
                  <c:v>21</c:v>
                </c:pt>
                <c:pt idx="4">
                  <c:v>208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1932688"/>
        <c:axId val="1951928336"/>
        <c:axId val="0"/>
      </c:bar3DChart>
      <c:catAx>
        <c:axId val="195193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52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51928336"/>
        <c:crosses val="autoZero"/>
        <c:auto val="1"/>
        <c:lblAlgn val="ctr"/>
        <c:lblOffset val="100"/>
        <c:noMultiLvlLbl val="0"/>
      </c:catAx>
      <c:valAx>
        <c:axId val="1951928336"/>
        <c:scaling>
          <c:orientation val="minMax"/>
          <c:max val="4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951932688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9906250000000001"/>
          <c:y val="0.20388888888888901"/>
          <c:w val="0.18601162572660801"/>
          <c:h val="0.19702189132125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B174-2FD9-478F-ACA4-74CFD9BC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dc:description/>
  <cp:lastModifiedBy>Виктория Игоревна Шлюндт</cp:lastModifiedBy>
  <cp:revision>2</cp:revision>
  <cp:lastPrinted>2025-01-29T11:45:00Z</cp:lastPrinted>
  <dcterms:created xsi:type="dcterms:W3CDTF">2025-02-11T09:19:00Z</dcterms:created>
  <dcterms:modified xsi:type="dcterms:W3CDTF">2025-02-11T09:19:00Z</dcterms:modified>
  <dc:language>ru-RU</dc:language>
</cp:coreProperties>
</file>