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817:192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25170_4097167490_Копия_1_Коп9"/>
      <w:bookmarkStart w:id="1" w:name="__DdeLink__0_2962366260_Копия_1_Копия_1a"/>
      <w:r>
        <w:rPr>
          <w:rFonts w:cs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color w:val="000000"/>
          <w:sz w:val="28"/>
          <w:szCs w:val="28"/>
        </w:rPr>
        <w:t xml:space="preserve">817:192,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600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Для ведения личного подсобного хозяйства (приусадебный земельный участок)</w:t>
      </w:r>
      <w:r>
        <w:rPr>
          <w:rFonts w:cs="Times New Roman"/>
          <w:color w:val="000000"/>
          <w:sz w:val="28"/>
          <w:szCs w:val="28"/>
        </w:rPr>
        <w:t>» кодовое обозначение 2.2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25170_4097167490_Копия_1_Коп1"/>
      <w:bookmarkStart w:id="3" w:name="__DdeLink__0_2962366260_Копия_1_Копия_11"/>
      <w:r>
        <w:rPr>
          <w:rFonts w:cs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color w:val="000000"/>
          <w:sz w:val="28"/>
          <w:szCs w:val="28"/>
        </w:rPr>
        <w:t xml:space="preserve">817:192,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600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 </w:t>
      </w:r>
      <w:r>
        <w:rPr>
          <w:rFonts w:cs="Times New Roman"/>
          <w:color w:val="000000"/>
          <w:sz w:val="28"/>
          <w:szCs w:val="28"/>
        </w:rPr>
        <w:t>- «</w:t>
      </w:r>
      <w:r>
        <w:rPr>
          <w:rFonts w:cs="Times New Roman"/>
          <w:color w:val="000000"/>
          <w:sz w:val="28"/>
          <w:szCs w:val="28"/>
          <w:lang w:eastAsia="en-US"/>
        </w:rPr>
        <w:t>Для ведения личного подсобного хозяйства (приусадебный земельный участок)</w:t>
      </w:r>
      <w:r>
        <w:rPr>
          <w:rFonts w:cs="Times New Roman"/>
          <w:color w:val="000000"/>
          <w:sz w:val="28"/>
          <w:szCs w:val="28"/>
        </w:rPr>
        <w:t>» кодовое обозначение 2.2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843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227</Words>
  <Characters>1770</Characters>
  <CharactersWithSpaces>2079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2025-06-02T17:52:15Z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