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197:619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h"/>
      <w:bookmarkStart w:id="1" w:name="__DdeLink__25170_4097167490_Копия_1_Копg"/>
      <w:bookmarkStart w:id="2" w:name="__DdeLink__25257_4097167490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197:619</w:t>
      </w:r>
      <w:bookmarkEnd w:id="2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 площадью 846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en-US"/>
        </w:rPr>
        <w:t>Для индивидуального жилищного строительства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» кодовое обозначение 2.1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3" w:name="__DdeLink__0_2962366260_Копия_1_Копия_11"/>
      <w:bookmarkStart w:id="4" w:name="__DdeLink__25170_4097167490_Копия_1_Коп1"/>
      <w:bookmarkStart w:id="5" w:name="__DdeLink__25257_4097167490_Копия_1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54:32:010</w:t>
      </w:r>
      <w:bookmarkEnd w:id="3"/>
      <w:bookmarkEnd w:id="4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197:619</w:t>
      </w:r>
      <w:bookmarkEnd w:id="5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 площадью 846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en-US"/>
        </w:rPr>
        <w:t>Для индивидуального жилищного строительства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773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2025-06-02T17:56:36Z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