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rawings/_rels/drawing1.xml.rels" ContentType="application/vnd.openxmlformats-package.relationships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_rels/chart3.xml.rels" ContentType="application/vnd.openxmlformats-package.relationship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media/image1.emf" ContentType="image/x-emf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embeddings/Microsoft_Excel_Worksheet1.xlsx" ContentType="application/vnd.openxmlformats-officedocument.spreadsheetml.sheet"/>
  <Override PartName="/word/embeddings/Microsoft_Excel_Worksheet2.xlsx" ContentType="application/vnd.openxmlformats-officedocument.spreadsheetml.sheet"/>
  <Override PartName="/word/embeddings/Microsoft_Excel_Worksheet.xlsx" ContentType="application/vnd.openxmlformats-officedocument.spreadsheetml.sheet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 в администрацию города Бердска Новосибирской области в июне 2025 года, и результаты их рассмотрения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города Бердска Новосибирской области. Организацию работы по объективному, всестороннему и своевременному рассмотрению обращений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отдел общественной приемной Главы города Бердска управления документационного обеспечения и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Бердска.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июне 2025 года Главе города Бердска, заместителям главы администрации поступило 463 обращения (в мае 2025 года – 420 обращений, в июне 2024 года – 439 обращений), в том числе: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174 (в мае 2025 года – 173, в июне 2024 года – 219);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обращений на личных приемах граждан Главой города, заместителями главы администрации – 6 (в мае 2025 года – 15, в июне 2024 года – 17);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устных сообщений и запросов по справочному телефону отдела общественной приемной Главы города – 6 (в мае 2025 года – 7, в июне 2024 года – 28).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72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личных обращений к специалистам отдела общественной приемной Главы города – 3 (в мае 2025 года – 4, в июне 2024 года – 6).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72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сообщений через цифровую платформу обратной связи – подсистему Единого портала «Госуслуги» (ПОС) – 274 (в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мае 2025 года – 221, в июне 2024 года – 169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jc w:val="both"/>
        <w:rPr>
          <w:color w:val="C9211E"/>
        </w:rPr>
      </w:pPr>
      <w:r>
        <w:rPr/>
        <w:drawing>
          <wp:inline distT="0" distB="0" distL="0" distR="0">
            <wp:extent cx="6155055" cy="2386965"/>
            <wp:effectExtent l="0" t="0" r="0" b="0"/>
            <wp:docPr id="1" name="Диаграмма 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color w:val="C9211E"/>
          <w:lang w:eastAsia="ru-RU"/>
        </w:rPr>
      </w:pPr>
      <w:r>
        <w:rPr>
          <w:color w:val="C9211E"/>
          <w:lang w:eastAsia="ru-RU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7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 Письменные обращения граждан</w:t>
      </w:r>
    </w:p>
    <w:p>
      <w:pPr>
        <w:pStyle w:val="Normal"/>
        <w:widowControl w:val="false"/>
        <w:shd w:val="clear" w:color="auto" w:fill="FFFFFF"/>
        <w:spacing w:lineRule="auto" w:line="240" w:before="24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июне 2025 года Главе города Бердска, заместителям главы администрации поступило 174 письменных обращения (в мае 2025 года – 173, в июне 2024 года – 219), в том числе в форме электронного документа через официальный сайт администрации города Бердска – 62 обращения (в мае 2025 года – 42, в июне 2024 года – 82).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Поступившие обращения граждан были направлены на рассмотрение в администрацию города Бердска: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- 21 – из Управления по работе с обращениями граждан – общественной приемной Губернатора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- 19 –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из прокуратуры города Бердска;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- 14 – из федеральных органов исполнительной власти и исполнительных органов государственной власти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- 4 – из Совета депутатов города Бердска;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- 2 – от Уполномоченного по правам ребенка в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- 114 – непосредственно от жителей города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C9211E"/>
          <w:sz w:val="20"/>
          <w:szCs w:val="20"/>
          <w:lang w:eastAsia="ru-RU"/>
        </w:rPr>
      </w:pPr>
      <w:r>
        <w:rPr>
          <w:rFonts w:eastAsia="Times New Roman" w:ascii="Times New Roman" w:hAnsi="Times New Roman"/>
          <w:color w:val="C9211E"/>
          <w:sz w:val="20"/>
          <w:szCs w:val="20"/>
          <w:lang w:eastAsia="ru-RU"/>
        </w:rPr>
      </w:r>
    </w:p>
    <w:p>
      <w:pPr>
        <w:pStyle w:val="Normal"/>
        <w:jc w:val="both"/>
        <w:rPr>
          <w:color w:val="C9211E"/>
        </w:rPr>
      </w:pPr>
      <w:r>
        <w:rPr/>
        <w:drawing>
          <wp:inline distT="0" distB="0" distL="0" distR="0">
            <wp:extent cx="6146800" cy="2125345"/>
            <wp:effectExtent l="0" t="0" r="0" b="0"/>
            <wp:docPr id="2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видам письменные обращения подразделяются на: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заявления – 165 (в мае 2025 года – 162, в июне 2024 года – 209);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запросы – 9 (в мае 2024 года – 8, в июне 2024 года – 7);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174 письменных обращениях содержится 188 вопросов, относящихся к следующим тематическим разделам: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/>
        <w:drawing>
          <wp:inline distT="0" distB="0" distL="0" distR="0">
            <wp:extent cx="6003290" cy="2301875"/>
            <wp:effectExtent l="0" t="0" r="0" b="0"/>
            <wp:docPr id="3" name="Диаграмма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spacing w:lineRule="auto" w:line="240" w:before="24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«Государство, общество, политика» – 21 – 11%: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основы государственного управления – 13 (в мае 2025 года – 13, в июне 2024 года – 8)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представление дополнительных документов и материалов (6); приемные государственных и муниципальных органов власти (2); результаты рассмотрения обращения (1); личный прием должностными лицами (1); обращение не имеющее смысла (1); арендные отношения (1); приглашение (1).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конституционный строй – 6 (в мае 2025 года – 20, в июне 2024 года – 24)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деятельность исполнительно-распорядительных органов местного самоуправления и его руководителей (3); права и свободы человека и гражданина (2); деятельность некоммерческих организаций (1).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гражданское право – 2 (в мае 2025 года – 0, в июне 2024 года – 2)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 обращение</w:t>
      </w:r>
      <w:r>
        <w:rPr>
          <w:rFonts w:eastAsia="Microsoft YaHei" w:cs="Arial" w:ascii="Arial" w:hAnsi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имущества в муниципальную собственность (2).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«Социальная сфера» – 13 – 7%: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образование, наука, культура – 5 (в мае 2025 года – 7, в июне 2024 года –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</w:t>
      </w:r>
      <w:r>
        <w:rPr>
          <w:rFonts w:eastAsia="Calibri" w:cs="Times New Roman" w:ascii="Times New Roman" w:hAnsi="Times New Roman"/>
          <w:i/>
          <w:iCs w:val="false"/>
          <w:color w:val="000000"/>
          <w:kern w:val="0"/>
          <w:sz w:val="26"/>
          <w:szCs w:val="26"/>
          <w:lang w:val="ru-RU" w:eastAsia="ru-RU" w:bidi="ar-SA"/>
        </w:rPr>
        <w:t>материально-техническое и информационное обеспечение образовательного процесса (1); условия проведения образовательного процесса (1); проведение общественных мероприятий (1); установление льгот и порядка посещения организаций культуры для отдельных категорий граждан (1); международное сотрудничество в сфере массовой информации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семья – 4 (в мае 2025 года – 2, в июне 2024 года –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</w:t>
      </w:r>
      <w:r>
        <w:rPr>
          <w:rFonts w:eastAsia="Calibri" w:cs="Times New Roman" w:ascii="Times New Roman" w:hAnsi="Times New Roman"/>
          <w:i/>
          <w:iCs w:val="false"/>
          <w:color w:val="000000"/>
          <w:kern w:val="0"/>
          <w:sz w:val="26"/>
          <w:szCs w:val="26"/>
          <w:lang w:val="ru-RU" w:eastAsia="ru-RU" w:bidi="ar-SA"/>
        </w:rPr>
        <w:t>права и обязанности родителей и детей (3); лишение родительских прав (1).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Calibri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 xml:space="preserve">- социальное обеспечение – 2 (в мае 2025 года – 3, в июне 2024 года – 4) </w:t>
      </w:r>
      <w:r>
        <w:rPr>
          <w:rFonts w:eastAsia="Calibri" w:cs="Times New Roman" w:ascii="Times New Roman" w:hAnsi="Times New Roman"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 xml:space="preserve">– </w:t>
      </w:r>
      <w:r>
        <w:rPr>
          <w:rFonts w:eastAsia="Calibri" w:cs="Times New Roman" w:ascii="Times New Roman" w:hAnsi="Times New Roman"/>
          <w:i/>
          <w:iCs w:val="false"/>
          <w:color w:val="000000"/>
          <w:kern w:val="0"/>
          <w:sz w:val="26"/>
          <w:szCs w:val="26"/>
          <w:lang w:val="ru-RU" w:eastAsia="ru-RU" w:bidi="ar-SA"/>
        </w:rPr>
        <w:t>предоставление дополнительных льгот отдельным категориям граждан (2)</w:t>
      </w:r>
      <w:r>
        <w:rPr>
          <w:rFonts w:eastAsia="Times New Roman" w:cs="Times New Roman" w:ascii="Times New Roman" w:hAnsi="Times New Roman"/>
          <w:i/>
          <w:iCs w:val="false"/>
          <w:color w:val="000000"/>
          <w:kern w:val="0"/>
          <w:sz w:val="26"/>
          <w:szCs w:val="26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здравоохранение – 1 (в мае 2025 года – 0, в июне 2024 года – 6)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лечение и оказание медицинской помощи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i w:val="false"/>
          <w:i w:val="false"/>
          <w:iCs w:val="false"/>
          <w:color w:val="000000"/>
        </w:rPr>
      </w:pPr>
      <w:r>
        <w:rPr>
          <w:rFonts w:eastAsia="Calibri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- физическая культура, спорт, туризм – 1 (в мае 2025 года – 1, в июне 2024 года – 0)</w:t>
      </w:r>
      <w:r>
        <w:rPr>
          <w:rFonts w:eastAsia="Calibri" w:cs="Times New Roman" w:ascii="Times New Roman" w:hAnsi="Times New Roman"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Calibri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–</w:t>
      </w:r>
      <w:r>
        <w:rPr>
          <w:rFonts w:eastAsia="Calibri" w:cs="Times New Roman" w:ascii="Times New Roman" w:hAnsi="Times New Roman"/>
          <w:i w:val="false"/>
          <w:iCs w:val="false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Calibri" w:cs="Times New Roman" w:ascii="Times New Roman" w:hAnsi="Times New Roman"/>
          <w:i/>
          <w:iCs w:val="false"/>
          <w:color w:val="000000"/>
          <w:kern w:val="0"/>
          <w:sz w:val="26"/>
          <w:szCs w:val="26"/>
          <w:lang w:val="ru-RU" w:eastAsia="ru-RU" w:bidi="ar-SA"/>
        </w:rPr>
        <w:t>проведение спортивных мероприятий (1).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«Экономика» – 99 – 53%: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хозяйственная деятельность – 70 (в мае 2025 года – 91, в июне 2024 года – 90)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благоустройство и ремонт подъездных дорог и тротуаров (16); комплексное благоустройство (15); строительство (10); уборка мусора и посторонних предметов (9); тра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нспортное обслуживание населения (8); сельское хозяйство (3); водоотведение (2); организация условий и мест для детского отдыха и досуга (2); торговля (1); озеленение (1); электроэнергетика (1); канализование поселений (1); содержание газового оборудования (1).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природные ресурсы и охрана окружающей среды – 28 (в мае 2025 года – 21, в июне 2024 года – 16) –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земельные вопросы (15); лесное хозяйство (5); охрана окружающей природной среды (3); охрана животного мира (2); использование и охрана природных ресурсов (2); водное хозяйство и экология (1).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информация и информатизация – 1 (в мае 2025 года – 0, в июне 2024 года – 1) – </w:t>
      </w:r>
      <w:r>
        <w:rPr>
          <w:rFonts w:eastAsia="Calibri" w:cs="Times New Roman" w:ascii="Times New Roman" w:hAnsi="Times New Roman"/>
          <w:i/>
          <w:iCs w:val="false"/>
          <w:color w:val="000000"/>
          <w:kern w:val="0"/>
          <w:sz w:val="26"/>
          <w:szCs w:val="26"/>
          <w:lang w:val="ru-RU" w:eastAsia="ru-RU" w:bidi="ar-SA"/>
        </w:rPr>
        <w:t>распространение массовой информации (1).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color w:val="C9211E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«Оборона, безопасность, законность» – 4 – 2%: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безопасность и охрана правопорядка – 2 (в мае 2025 года – 0, в июне 2024 года – 4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)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нарушени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е правил парковки автотранспорта (1); конфликты на бытовой почве (1).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оборона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(в мае 2025 года – 0, в июне 2024 года – 2 )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– выплата компенсаций за установку надгробия (1).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- правосудие – 1 (в мае 2025 года – 0, в июне 2024 года – 0 )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–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судебная система (1).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«Жилищно - коммунальная сфера» – 51 – 27%: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коммунальное хозяйство – 35 (в мае 2025 года – 25, в июне 2024 года – 68)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 коммунально-бытовое хозяйство (14); обращение с твердыми коммунальными отходами (6); управляющие организации (6); оплата жилищно-коммунальных услуг (4); несанкционированная свалка мусора (2); ремонт и эксплуатация ливневой канализации (1); содержание общего имущества (1); предоставление коммунальных услуг ненадлежащего качества (1).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общие положения жилищного законодательства – 7 (в мае 2025 года – 7, в июне 2024 года – 2)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нормативно-правовое регулирование обеспечения условий для осуществления гражданами права на жилище (7).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- обеспечение граждан жилищем – 3 (в мае 2025 года – 1, в июне 2024 года – 8) –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постановка на учет в органе местного самоуправления (1); обеспечение жильем ветеранов (1); обеспечение жильем инвалидов (1).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- перевод помещений из жилых в нежилые – 3 (в мае 2025 года – 0, в июне 2024 года – 0) </w:t>
      </w:r>
      <w:r>
        <w:rPr>
          <w:rFonts w:eastAsia="Calibri" w:cs="Times New Roman" w:ascii="Times New Roman" w:hAnsi="Times New Roman"/>
          <w:i/>
          <w:color w:val="000000"/>
          <w:kern w:val="0"/>
          <w:sz w:val="28"/>
          <w:szCs w:val="28"/>
          <w:lang w:val="ru-RU" w:eastAsia="ru-RU" w:bidi="ar-SA"/>
        </w:rPr>
        <w:t>–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 перевод помещений из жилых в нежилые (3).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дачное хозяйство – 2 (в мае 2025 года – 0, в июне 2024 года – 0) –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дачное хозяйство (2).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оплата строительства, содержания и ремонта жилья – 1 (в мае 2025 года – 0, в июне 2024 года – 1) –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предоставление субсидий на жилье (1).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города Бердска, было поставлено на контроль.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Из всех письменных обращений, поступивших в июне 2025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выездом на место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10 обращений – 6% (в мае 2025 года – 5 обращений – 3%, в июне 2024 года – 11 обращений– 5%).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отлагательным сроком исполнения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15 обращений – 9% (в мае 2025 года – 5 обращений – 3%, в июне 2024 года – 23 обращения – 12%).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в июне 2025 года: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174 обращения – 100% (в мае 2025 года – 168 обращений – 97%, в июне 2024 года – 218 обращений – 99%).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240" w:after="0"/>
        <w:ind w:hanging="0" w:left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  Личный прием граждан Главой города, заместителями главы администрации, руководителями структурных подразделений администрации.</w:t>
      </w:r>
    </w:p>
    <w:p>
      <w:pPr>
        <w:pStyle w:val="Normal"/>
        <w:widowControl w:val="false"/>
        <w:shd w:val="clear" w:color="auto" w:fill="FFFFFF"/>
        <w:spacing w:lineRule="auto" w:line="240" w:before="24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июне 2025 года Главой города Бердска, заместителями главы администрации и руководителями структурных подразделений администрации на личном приеме приняты 6 человек (в мае 2025 года – 15, в июне 2024 года – 17).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личных приемах жителями поднято 9 вопросов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- коммунально-бытовое хозяйство 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  <w:lang w:eastAsia="ru-RU"/>
        </w:rPr>
        <w:t xml:space="preserve">и предоставление услуг в условиях рынка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земельные вопросы (2);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управляющие организации (2);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трудовые отношения (1);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электроэнергетика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240" w:after="0"/>
        <w:ind w:hanging="0" w:left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3.  Устные сообщения и запросы по справочному телефону отдела общественной приемной Главы города</w:t>
      </w:r>
    </w:p>
    <w:p>
      <w:pPr>
        <w:pStyle w:val="Normal"/>
        <w:widowControl w:val="false"/>
        <w:shd w:val="clear" w:color="auto" w:fill="FFFFFF"/>
        <w:spacing w:lineRule="auto" w:line="240" w:before="24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справочному телефону отдела общественной приемной Главы города Бердска в июне 2025 года зарегистрировано 6 сообщений (в мае 2025 года – 7, в июне 2024 года – 28), в том числе в форме смс-сообщений – 2 (в мае 2025 года – 1, в июне 2024 года – 1).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устных сообщениях жителями поднято 7 вопросов: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запись на личный прием к Главе города Бердска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уборка мусора и посторонних предметов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благоустройство и ремонт подъездных дорог и тротуаров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ремонт и эксплуатация ливневой канализации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содержание общего имущества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торговля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всем вопросам, содержащимся в устных сообщениях и запросах, предоставлена запрашиваемая информация, даны консультации и разъяснения.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36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4. Прием граждан специалистами отдела общественной приемной Главы города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659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июне 2025 года специалистами отдела общественной приемной Главы города принято 3 человека (в мае 2025 года – 4, в июне 2024 года – 6) по вопросу записи на личный прием к Главе города Бердска.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Сообщения граждан через платформу обратной связи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июне 2025 года через цифровую платформу обратной связи – подсистему Единого портала «Госуслуги» (ПОС) в администрацию города Бердска гражданами было направлено 274 сообщения (в мае 2025 года – 221, в июне 2024 года – 169) по вопросам в следующих тематических разделах: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сфера хозяйственной деятельности (209):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благоустройство и ремонт дорог и тротуаров (76);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- </w:t>
      </w: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уборка мусора и посторонних предметов (66);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комплексное благоустройство (23);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парковка автотранспорта (10);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содержание транспортной инфраструктуры (5);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дорожные знаки (5);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торговля (5);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организация условий и мест для детского отдыха и досуга (5);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водоотведение 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транспортное обслуживание населения (2);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строительство (2);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электроснабжение поселений (2);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безопасность дорожного движения (2);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- уличное освещение (1);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отлов собак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водоснабжение поселений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жилищно-коммунальная сфера (40):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обращение с твердыми коммунальными отходами (11);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содержание общего имущества (10);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перебои в водо- и электроснабжении (7);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управляющие организации (5);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- коммунально-бытовое хозяйство 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  <w:lang w:eastAsia="ru-RU"/>
        </w:rPr>
        <w:t xml:space="preserve">и предоставление услуг в условиях рынка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(4);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предоставление коммунальных услуг ненадлежащего качества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ремонт и эксплуатация ливневой канализации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перепланировка жилых помещений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природных ресурсов (10):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лесное хозяйство (8);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охрана окружающей среды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земельные вопросы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социальная сфера (10):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здравоохранение (4);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образование 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социальная помощь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спорт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государства, общества, политики (4):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предоставление информации 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присвоение адреса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обороны, безопасности, законности (1):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охрана общественного порядка (1).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На все сообщения были предоставлены разъяснения, в случае необходимости приняты меры.</w:t>
      </w:r>
    </w:p>
    <w:p>
      <w:pPr>
        <w:pStyle w:val="Normal"/>
        <w:widowControl w:val="false"/>
        <w:shd w:val="clear" w:color="auto" w:fill="FFFFFF"/>
        <w:spacing w:lineRule="auto" w:line="240" w:before="240" w:after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Мобильная группа Главы города Бердска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июне 2025 года мобильной группой было осуществлено 7 выездов, в ходе которых отработано 22 вопроса. По всем вопросам приняты меры и проверено качество выполненных работ</w:t>
      </w:r>
    </w:p>
    <w:p>
      <w:pPr>
        <w:pStyle w:val="Normal"/>
        <w:widowControl w:val="false"/>
        <w:shd w:val="clear" w:color="auto" w:fill="FFFFFF"/>
        <w:spacing w:lineRule="auto" w:line="240" w:before="24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418" w:right="707" w:gutter="0" w:header="708" w:top="765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38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d00056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9"/>
    <w:qFormat/>
    <w:rsid w:val="00d00056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2" w:customStyle="1">
    <w:name w:val="Заголовок 2 Знак"/>
    <w:uiPriority w:val="99"/>
    <w:qFormat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Style12" w:customStyle="1">
    <w:name w:val="Основной текст Знак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Style13" w:customStyle="1">
    <w:name w:val="Основной текст с отступом Знак"/>
    <w:link w:val="BodyTextIndented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Style14" w:customStyle="1">
    <w:name w:val="Верхний колонтитул Знак"/>
    <w:uiPriority w:val="99"/>
    <w:qFormat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uiPriority w:val="99"/>
    <w:rsid w:val="00d00056"/>
    <w:rPr>
      <w:rFonts w:cs="Times New Roman"/>
    </w:rPr>
  </w:style>
  <w:style w:type="character" w:styleId="Style15" w:customStyle="1">
    <w:name w:val="Текст выноски Знак"/>
    <w:link w:val="BalloonText"/>
    <w:uiPriority w:val="99"/>
    <w:semiHidden/>
    <w:qFormat/>
    <w:locked/>
    <w:rsid w:val="008d2ae1"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uiPriority w:val="99"/>
    <w:qFormat/>
    <w:rsid w:val="0002334e"/>
    <w:rPr>
      <w:sz w:val="22"/>
      <w:szCs w:val="22"/>
      <w:lang w:eastAsia="en-US"/>
    </w:rPr>
  </w:style>
  <w:style w:type="character" w:styleId="gwt-inlinelabel" w:customStyle="1">
    <w:name w:val="gwt-inlinelabel"/>
    <w:qFormat/>
    <w:rsid w:val="0055281b"/>
    <w:rPr/>
  </w:style>
  <w:style w:type="character" w:styleId="InternetLink" w:customStyle="1">
    <w:name w:val="Internet Link"/>
    <w:uiPriority w:val="99"/>
    <w:unhideWhenUsed/>
    <w:qFormat/>
    <w:rsid w:val="00651975"/>
    <w:rPr>
      <w:color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link w:val="Style12"/>
    <w:uiPriority w:val="99"/>
    <w:rsid w:val="00d00056"/>
    <w:pPr>
      <w:spacing w:lineRule="auto" w:line="240" w:before="0" w:after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Droid Sans"/>
    </w:rPr>
  </w:style>
  <w:style w:type="paragraph" w:styleId="BodyTextIndented" w:customStyle="1">
    <w:name w:val="Body Text;Indented"/>
    <w:basedOn w:val="Normal"/>
    <w:link w:val="Style13"/>
    <w:uiPriority w:val="99"/>
    <w:qFormat/>
    <w:rsid w:val="00d00056"/>
    <w:pPr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21" w:customStyle="1">
    <w:name w:val="Основной текст 21"/>
    <w:basedOn w:val="Normal"/>
    <w:uiPriority w:val="99"/>
    <w:qFormat/>
    <w:rsid w:val="00d00056"/>
    <w:pPr>
      <w:spacing w:lineRule="auto" w:line="240" w:before="0" w:after="0"/>
      <w:ind w:firstLine="709"/>
      <w:jc w:val="both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19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d000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31" w:customStyle="1">
    <w:name w:val="Основной текст с отступом 31"/>
    <w:basedOn w:val="Normal"/>
    <w:uiPriority w:val="99"/>
    <w:qFormat/>
    <w:rsid w:val="00d00056"/>
    <w:pPr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20" w:customStyle="1">
    <w:name w:val="Знак"/>
    <w:basedOn w:val="Normal"/>
    <w:uiPriority w:val="99"/>
    <w:qFormat/>
    <w:rsid w:val="00d00056"/>
    <w:pPr>
      <w:widowControl w:val="false"/>
      <w:spacing w:lineRule="atLeast" w:line="360" w:beforeAutospacing="1" w:afterAutospacing="1"/>
      <w:jc w:val="both"/>
      <w:textAlignment w:val="baseline"/>
    </w:pPr>
    <w:rPr>
      <w:rFonts w:ascii="Tahoma" w:hAnsi="Tahoma" w:eastAsia="Times New Roman" w:cs="Tahoma"/>
      <w:sz w:val="20"/>
      <w:szCs w:val="20"/>
      <w:lang w:val="en-US"/>
    </w:rPr>
  </w:style>
  <w:style w:type="paragraph" w:styleId="11" w:customStyle="1">
    <w:name w:val="Абзац списка1"/>
    <w:basedOn w:val="Normal"/>
    <w:uiPriority w:val="99"/>
    <w:qFormat/>
    <w:rsid w:val="00d00056"/>
    <w:pPr>
      <w:spacing w:before="0" w:after="200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Style15"/>
    <w:uiPriority w:val="99"/>
    <w:semiHidden/>
    <w:qFormat/>
    <w:rsid w:val="008d2a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Знак Знак Знак"/>
    <w:basedOn w:val="Normal"/>
    <w:uiPriority w:val="99"/>
    <w:qFormat/>
    <w:rsid w:val="006022e3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Footer">
    <w:name w:val="Footer"/>
    <w:basedOn w:val="Normal"/>
    <w:link w:val="Style16"/>
    <w:uiPriority w:val="99"/>
    <w:unhideWhenUsed/>
    <w:rsid w:val="000233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f58f5"/>
    <w:pPr>
      <w:spacing w:before="0" w:after="200"/>
      <w:ind w:left="720"/>
      <w:contextualSpacing/>
    </w:pPr>
    <w:rPr/>
  </w:style>
  <w:style w:type="paragraph" w:styleId="Style22" w:customStyle="1">
    <w:name w:val="Содержимое врезки"/>
    <w:basedOn w:val="Normal"/>
    <w:qFormat/>
    <w:pPr/>
    <w:rPr/>
  </w:style>
  <w:style w:type="numbering" w:styleId="Style23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.xlsx"/><Relationship Id="rId2" Type="http://schemas.openxmlformats.org/officeDocument/2006/relationships/chartUserShapes" Target="../drawings/drawing1.xml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2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Структура и количество обращений, поступивших 
в администрацию города Бердска в июне 2025 года
в сравнении с маем 2025 года и июнем 2024 года.</a:t>
            </a:r>
          </a:p>
        </c:rich>
      </c:tx>
      <c:layout>
        <c:manualLayout>
          <c:xMode val="edge"/>
          <c:yMode val="edge"/>
          <c:x val="0.218576358425455"/>
          <c:y val="0.034841628959276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168752924660739"/>
          <c:y val="0.343189017951426"/>
          <c:w val="0.929632662611137"/>
          <c:h val="0.4591944486347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Июнь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-0.00180509170099869"/>
                  <c:y val="-0.0031240915602681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026230467321612"/>
                  <c:y val="0.00023214229695396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13104234063765"/>
                  <c:y val="0.0026494286467466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180679814404"/>
                  <c:y val="-0.0036302035950685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86046511627907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463</c:v>
                </c:pt>
                <c:pt idx="1">
                  <c:v>174</c:v>
                </c:pt>
                <c:pt idx="2">
                  <c:v>6</c:v>
                </c:pt>
                <c:pt idx="3">
                  <c:v>6</c:v>
                </c:pt>
                <c:pt idx="4">
                  <c:v>3</c:v>
                </c:pt>
                <c:pt idx="5">
                  <c:v>274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Май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5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0634600907445"/>
                  <c:y val="-0.0083402675102293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33776068689088"/>
                  <c:y val="-0.00034751114625955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3776068689088"/>
                  <c:y val="0.0056917557794358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815039980467565"/>
                  <c:y val="-0.0017847769028871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65374677002584"/>
                  <c:y val="0"/>
                </c:manualLayout>
              </c:layout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0.00412668936345817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6"/>
                <c:pt idx="0">
                  <c:v>420</c:v>
                </c:pt>
                <c:pt idx="1">
                  <c:v>173</c:v>
                </c:pt>
                <c:pt idx="2">
                  <c:v>15</c:v>
                </c:pt>
                <c:pt idx="3">
                  <c:v>7</c:v>
                </c:pt>
                <c:pt idx="4">
                  <c:v>4</c:v>
                </c:pt>
                <c:pt idx="5">
                  <c:v>221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5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6212740849254"/>
                  <c:y val="-0.0047711721624316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20300333975281"/>
                  <c:y val="-0.003881586514833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59316364524202"/>
                  <c:y val="0.0062052287132230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41084457466073"/>
                  <c:y val="0.0022478194592488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-0.0167265201887744"/>
                  <c:y val="-0.0025795595542901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0.0123800680903743"/>
                  <c:y val="-9.75166039763233E-01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6"/>
                <c:pt idx="0">
                  <c:v>439</c:v>
                </c:pt>
                <c:pt idx="1">
                  <c:v>219</c:v>
                </c:pt>
                <c:pt idx="2">
                  <c:v>17</c:v>
                </c:pt>
                <c:pt idx="3">
                  <c:v>28</c:v>
                </c:pt>
                <c:pt idx="4">
                  <c:v>4</c:v>
                </c:pt>
                <c:pt idx="5">
                  <c:v>169</c:v>
                </c:pt>
              </c:numCache>
            </c:numRef>
          </c:val>
        </c:ser>
        <c:gapWidth val="150"/>
        <c:shape val="box"/>
        <c:axId val="26993050"/>
        <c:axId val="66386196"/>
        <c:axId val="0"/>
      </c:bar3DChart>
      <c:catAx>
        <c:axId val="2699305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7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6386196"/>
        <c:crosses val="autoZero"/>
        <c:auto val="1"/>
        <c:lblAlgn val="ctr"/>
        <c:lblOffset val="100"/>
        <c:noMultiLvlLbl val="0"/>
      </c:catAx>
      <c:valAx>
        <c:axId val="66386196"/>
        <c:scaling>
          <c:orientation val="minMax"/>
          <c:max val="5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6993050"/>
        <c:crosses val="autoZero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0.800875"/>
          <c:y val="0.0961111111111111"/>
          <c:w val="0.182511406962935"/>
          <c:h val="0.241026780753417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Виды письменных обращений, поступивших в 
администрацию города Бердска в июне 2025 года
в сравнении с маем 2025 года и июнем 2024 года </a:t>
            </a:r>
          </a:p>
        </c:rich>
      </c:tx>
      <c:layout>
        <c:manualLayout>
          <c:xMode val="edge"/>
          <c:yMode val="edge"/>
          <c:x val="0.271816797469837"/>
          <c:y val="0.0325258343215314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794375"/>
          <c:y val="0.378555555555556"/>
          <c:w val="0.9044375"/>
          <c:h val="0.4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Июнь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-0.00207311121233813"/>
                  <c:y val="-0.01860442130926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5838738513474"/>
                  <c:y val="-0.037692131531704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165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Май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10665712240515"/>
                  <c:y val="-0.0048834899821622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38647785305906"/>
                  <c:y val="-0.039314298460700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162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82424871309691"/>
                  <c:y val="-0.00093168982149482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22796055281557"/>
                  <c:y val="-0.041231471954647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209</c:v>
                </c:pt>
                <c:pt idx="1">
                  <c:v>7</c:v>
                </c:pt>
              </c:numCache>
            </c:numRef>
          </c:val>
        </c:ser>
        <c:gapWidth val="150"/>
        <c:shape val="box"/>
        <c:axId val="96133550"/>
        <c:axId val="93430043"/>
        <c:axId val="0"/>
      </c:bar3DChart>
      <c:catAx>
        <c:axId val="9613355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3430043"/>
        <c:crosses val="autoZero"/>
        <c:auto val="1"/>
        <c:lblAlgn val="ctr"/>
        <c:lblOffset val="100"/>
        <c:noMultiLvlLbl val="0"/>
      </c:catAx>
      <c:valAx>
        <c:axId val="93430043"/>
        <c:scaling>
          <c:orientation val="minMax"/>
          <c:max val="2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6133550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6591875"/>
          <c:y val="0.367"/>
          <c:w val="0.182511406962935"/>
          <c:h val="0.274919435492833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Тематика вопросов в письменных обращениях, поступивших в 
администрацию города Бердска в июне 2025 года
в сравнении с маем 2025 года и июнем 2024 года </a:t>
            </a:r>
          </a:p>
        </c:rich>
      </c:tx>
      <c:layout>
        <c:manualLayout>
          <c:xMode val="edge"/>
          <c:yMode val="edge"/>
          <c:x val="0.144647676161919"/>
          <c:y val="0.00375410605349601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72375"/>
          <c:y val="0.294"/>
          <c:w val="0.900375"/>
          <c:h val="0.4428888888888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Июнь 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924320613769433"/>
                  <c:y val="0.006046572945505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00282656976"/>
                  <c:y val="-4.79392130722365E-00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0447377981329324"/>
                  <c:y val="-0.0025441973938280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43838481728246"/>
                  <c:y val="0.011068684907537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0924320613769433"/>
                  <c:y val="0.0065911624060691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21</c:v>
                </c:pt>
                <c:pt idx="1">
                  <c:v>13</c:v>
                </c:pt>
                <c:pt idx="2">
                  <c:v>99</c:v>
                </c:pt>
                <c:pt idx="3">
                  <c:v>4</c:v>
                </c:pt>
                <c:pt idx="4">
                  <c:v>51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Май 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976200282656972"/>
                  <c:y val="0.007297307014705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32586311327"/>
                  <c:y val="0.002031663850237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354147022446455"/>
                  <c:y val="-0.012812561425416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36053301029679"/>
                  <c:y val="0.0057584582749074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12944881889764"/>
                  <c:y val="0.0061525186064070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33</c:v>
                </c:pt>
                <c:pt idx="1">
                  <c:v>14</c:v>
                </c:pt>
                <c:pt idx="2">
                  <c:v>112</c:v>
                </c:pt>
                <c:pt idx="3">
                  <c:v>0</c:v>
                </c:pt>
                <c:pt idx="4">
                  <c:v>33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Июнь 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8648899656774"/>
                  <c:y val="0.0048226848356284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32586311327"/>
                  <c:y val="0.0003163988063136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2591730854794"/>
                  <c:y val="-0.0099325910252407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15540480516858"/>
                  <c:y val="0.0083346909222554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59161720169594"/>
                  <c:y val="0.0083313314649228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34</c:v>
                </c:pt>
                <c:pt idx="1">
                  <c:v>13</c:v>
                </c:pt>
                <c:pt idx="2">
                  <c:v>107</c:v>
                </c:pt>
                <c:pt idx="3">
                  <c:v>4</c:v>
                </c:pt>
                <c:pt idx="4">
                  <c:v>87</c:v>
                </c:pt>
              </c:numCache>
            </c:numRef>
          </c:val>
        </c:ser>
        <c:gapWidth val="150"/>
        <c:shape val="box"/>
        <c:axId val="72322572"/>
        <c:axId val="67194570"/>
        <c:axId val="0"/>
      </c:bar3DChart>
      <c:catAx>
        <c:axId val="723225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7194570"/>
        <c:crosses val="autoZero"/>
        <c:auto val="1"/>
        <c:lblAlgn val="ctr"/>
        <c:lblOffset val="100"/>
        <c:noMultiLvlLbl val="0"/>
      </c:catAx>
      <c:valAx>
        <c:axId val="67194570"/>
        <c:scaling>
          <c:orientation val="minMax"/>
          <c:max val="12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4f81bd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72322572"/>
        <c:crosses val="autoZero"/>
        <c:crossBetween val="between"/>
        <c:majorUnit val="20"/>
        <c:minorUnit val="5"/>
      </c:valAx>
    </c:plotArea>
    <c:legend>
      <c:legendPos val="r"/>
      <c:layout>
        <c:manualLayout>
          <c:xMode val="edge"/>
          <c:yMode val="edge"/>
          <c:x val="0.8168125"/>
          <c:y val="0.0946666666666667"/>
          <c:w val="0.183073942121383"/>
          <c:h val="0.258584287143016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drawings/_rels/drawing1.xml.rels><?xml version="1.0" encoding="UTF-8"?>
<Relationships xmlns="http://schemas.openxmlformats.org/package/2006/relationships"><Relationship Id="rId1" Type="http://schemas.openxmlformats.org/officeDocument/2006/relationships/image" Target="../media/image1.emf"/>
</Relationships>
</file>

<file path=word/drawings/drawing1.xml><?xml version="1.0" encoding="utf-8"?>
<c:userShapes xmlns:cdr="http://schemas.openxmlformats.org/drawingml/2006/chartDrawing" xmlns:a="http://schemas.openxmlformats.org/drawingml/2006/main" xmlns:c="http://schemas.openxmlformats.org/drawingml/2006/chart" xmlns:r="http://schemas.openxmlformats.org/officeDocument/2006/relationships">
  <cdr:relSizeAnchor>
    <cdr:from>
      <cdr:x>0.702462420307656</cdr:x>
      <cdr:y>0.695776772247361</cdr:y>
    </cdr:from>
    <cdr:to>
      <cdr:x>0.712171726033807</cdr:x>
      <cdr:y>0.751432880844646</cdr:y>
    </cdr:to>
    <cdr:pic>
      <cdr:nvPicPr>
        <cdr:cNvPr id="0" name="" descr=""/>
        <cdr:cNvPicPr/>
      </cdr:nvPicPr>
      <cdr:blipFill>
        <a:blip r:embed="rId1"/>
        <a:stretch/>
      </cdr:blipFill>
      <cdr:spPr>
        <a:xfrm>
          <a:off x="0" y="0"/>
          <a:ext cx="59760" cy="132840"/>
        </a:xfrm>
        <a:prstGeom prst="rect">
          <a:avLst/>
        </a:prstGeom>
        <a:ln w="0">
          <a:noFill/>
        </a:ln>
      </cdr:spPr>
    </cdr:pic>
  </cdr:relSizeAnchor>
</c:userShape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2B76-5906-459C-A457-BC19AF01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4833</TotalTime>
  <Application>LibreOffice/24.2.4.2$Linux_X86_64 LibreOffice_project/51a6219feb6075d9a4c46691dcfe0cd9c4fff3c2</Application>
  <AppVersion>15.0000</AppVersion>
  <Pages>6</Pages>
  <Words>1634</Words>
  <Characters>9709</Characters>
  <CharactersWithSpaces>11386</CharactersWithSpaces>
  <Paragraphs>122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2023-03-24T01:53:00Z</dcterms:created>
  <dc:creator>Shalgunova</dc:creator>
  <dc:description/>
  <dc:language>ru-RU</dc:language>
  <cp:lastModifiedBy/>
  <cp:lastPrinted>2020-04-14T09:33:00Z</cp:lastPrinted>
  <dcterms:modified xsi:type="dcterms:W3CDTF">2025-08-12T15:10:25Z</dcterms:modified>
  <cp:revision>291</cp:revision>
  <dc:subject/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