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Бердска Новосибирской области во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квартале 2025 года,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осуществляет отдел общественной приемной Главы города Бердска </w:t>
      </w:r>
      <w:r>
        <w:rPr>
          <w:rFonts w:ascii="Times New Roman" w:hAnsi="Times New Roman"/>
          <w:sz w:val="28"/>
          <w:szCs w:val="28"/>
        </w:rPr>
        <w:t>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C9211E"/>
          <w:sz w:val="28"/>
          <w:szCs w:val="20"/>
          <w:lang w:eastAsia="ru-RU"/>
        </w:rPr>
      </w:pPr>
      <w:r>
        <w:rPr>
          <w:rFonts w:ascii="Times New Roman" w:hAnsi="Times New Roman"/>
          <w:color w:val="C9211E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Главе города Бердска, заместителям главы администрации поступило 1499 обращений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1024 обращения,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1252 обращения)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письменных обращений – 588 – 39%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483 – 47%,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670 – 54%)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обращений на личном приеме граждан Главой города, заместителями главы администрации – 34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39 – 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48 – 4%).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устных сообщений по справочному телефону – 23 – 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42 – 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62 – 5%).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общественной приемной Главы города, требующих принятия мер – 10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– 11 – 1%,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11 – 1%).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сообщений через цифровую платформу обратной связи – подсистему Единого портала «Госуслуги» (ПОС) – 844 – 5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%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– 449 – 44%, 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461 – 36%).</w:t>
      </w:r>
    </w:p>
    <w:p>
      <w:pPr>
        <w:pStyle w:val="Normal"/>
        <w:widowControl w:val="false"/>
        <w:shd w:val="clear" w:fill="FFFFFF"/>
        <w:spacing w:lineRule="auto" w:line="240" w:before="0" w:after="0"/>
        <w:ind w:left="644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rPr>
          <w:color w:val="C9211E"/>
        </w:rPr>
      </w:pPr>
      <w:r>
        <w:rPr/>
        <w:drawing>
          <wp:inline distT="0" distB="0" distL="0" distR="0">
            <wp:extent cx="6109335" cy="2336165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2025 года (1024 обращения)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r>
        <w:rPr>
          <w:rFonts w:ascii="Times New Roman" w:hAnsi="Times New Roman"/>
          <w:b/>
          <w:color w:val="000000"/>
          <w:sz w:val="28"/>
          <w:szCs w:val="28"/>
        </w:rPr>
        <w:t>увеличилось на 46%</w:t>
      </w:r>
      <w:r>
        <w:rPr>
          <w:rFonts w:ascii="Times New Roman" w:hAnsi="Times New Roman"/>
          <w:color w:val="000000"/>
          <w:sz w:val="28"/>
          <w:szCs w:val="28"/>
        </w:rPr>
        <w:t xml:space="preserve"> (на 475 обращений).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(1252 обращений)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r>
        <w:rPr>
          <w:rFonts w:ascii="Times New Roman" w:hAnsi="Times New Roman"/>
          <w:b/>
          <w:color w:val="000000"/>
          <w:sz w:val="28"/>
          <w:szCs w:val="28"/>
        </w:rPr>
        <w:t>увеличилось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20%</w:t>
      </w:r>
      <w:r>
        <w:rPr>
          <w:rFonts w:ascii="Times New Roman" w:hAnsi="Times New Roman"/>
          <w:color w:val="000000"/>
          <w:sz w:val="28"/>
          <w:szCs w:val="28"/>
        </w:rPr>
        <w:t xml:space="preserve"> (на 247 обращений).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  Письменные обращения граждан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Главе города Бердска, заместителям главы администрации поступило 588 письменных обращений и запросов, в том числе в форме электронного документа через официальный сайт администрации города Бердска 176 обращений – 30%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483, в том числе в форме электронного документа – 160 обращений – 33%,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670, в том числе в форме электронного документа – 255 обращений – 38%).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2025 года количество письменных обращений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увеличилось </w:t>
      </w:r>
      <w:r>
        <w:rPr>
          <w:rFonts w:ascii="Times New Roman" w:hAnsi="Times New Roman"/>
          <w:color w:val="000000"/>
          <w:sz w:val="28"/>
          <w:szCs w:val="28"/>
        </w:rPr>
        <w:t>на 22% (на 105 обращений).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количество письменных обращений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уменьшилось </w:t>
      </w:r>
      <w:r>
        <w:rPr>
          <w:rFonts w:ascii="Times New Roman" w:hAnsi="Times New Roman"/>
          <w:color w:val="000000"/>
          <w:sz w:val="28"/>
          <w:szCs w:val="28"/>
        </w:rPr>
        <w:t>на 12% (на 82 обращения).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заявления – 553 – 93%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457 – 94%,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2024 года – 636 – 95%);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жалобы – 1 – 1%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2025 года – 6 – 1%,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 года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–7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– 1%);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запросы – 29 – 5%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2025 года – 14 – 3%,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 года – 20 – 3%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 обращения (благодарности, приглашения и т.п.) – 5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да – 3 – 1%,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 года – 4 – 1%).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/>
        <w:drawing>
          <wp:inline distT="0" distB="0" distL="0" distR="0">
            <wp:extent cx="6096000" cy="2200275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- 75 – из Управления по работе с обращениями граждан – общественной приемной Губернатора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- 43 – из федеральных органов исполнительной власти и исполнительных органов государственной власти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- 43 –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- 20 –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- 3 – из иных органов местного самоуправления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- 3 – из Законодательного Собрания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- 1 – из Государственной Думы Федерального Собрания Российской Федерации;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- 3 – от Уполномоченного по правам ребенка в Новосибирской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- 1 – от Уполномоченного по правам человека в Новосибирской области;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- 396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588 письменных обращениях содержится 635 вопросов,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spacing w:lineRule="auto" w:line="240"/>
        <w:rPr>
          <w:color w:val="C9211E"/>
        </w:rPr>
      </w:pPr>
      <w:r>
        <w:rPr/>
        <w:drawing>
          <wp:inline distT="0" distB="0" distL="0" distR="0">
            <wp:extent cx="6096000" cy="240030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92 – 14%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87 – 17%,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98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13%)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конституционный строй (57); основы государственного управления (33);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право (2).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сфере государства, общества и политики для жителей являются: предоставление (разъяснение) информации; деятельность органов местного самоуправления;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деятел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shd w:fill="auto" w:val="clear"/>
          <w:lang w:val="ru-RU" w:eastAsia="ru-RU" w:bidi="ar-SA"/>
        </w:rPr>
        <w:t>ьность некоммерческих организаций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color w:val="C9211E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</w:r>
    </w:p>
    <w:tbl>
      <w:tblPr>
        <w:tblW w:w="89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4945"/>
        <w:gridCol w:w="1147"/>
        <w:gridCol w:w="1246"/>
        <w:gridCol w:w="1244"/>
      </w:tblGrid>
      <w:tr>
        <w:trPr>
          <w:trHeight w:val="415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 2025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2025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 2024 года</w:t>
            </w:r>
          </w:p>
        </w:tc>
      </w:tr>
      <w:tr>
        <w:trPr>
          <w:trHeight w:val="284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Предоставление информации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43</w:t>
            </w:r>
          </w:p>
        </w:tc>
      </w:tr>
      <w:tr>
        <w:trPr>
          <w:trHeight w:val="284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Деятельность органов местного самоуправления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Деятельность некоммерческих организаций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51 – 8%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48 – 9%,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52 – 7%) – образование (19); социальное обеспечение (13); физическая культура и спорт (8); семья (6); здравоохранение (3); труд и занятость населения (2).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льными вопросами в социальной сфере для жителей являются: права и обязанности родителей и детей; конфликтные ситуации в образовательных организациях, социальное обслуживание.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61"/>
        <w:gridCol w:w="1417"/>
        <w:gridCol w:w="1418"/>
        <w:gridCol w:w="1417"/>
      </w:tblGrid>
      <w:tr>
        <w:trPr>
          <w:trHeight w:val="41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 2025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 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>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 xml:space="preserve"> квартал 2024 года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Права и обязанности родителей и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Конфликтные ситуации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Социальное обслуживание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354 – 56%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234 – 46%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357 – 48%) – хозяйственная деятельность (271):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благоустройство и ремонт подъездных дорог и тротуаров (64); комплексное благоустройство (47); уборка снега, мусора и посторонних предметов (35); транспортное обслуживание населения (32); строительство (29); водоотведение (12); торговля (10); дорожные знаки (9); сельское хозяйство (7); парковки автотранспорта (5); организация мест детского отдыха (4); газоснабжение поселений (3);уличное освещение (2); водоснабжение поселений (2); борьба с аварийностью, безопасность дорожного движения (2); содержание транспортной инфраструктуры (2); озеленение (1); канализование поселений (1); содержание  газового оборудования (1); выгул собак (1); бытовое обслуживание населения (1); электроэнергетика (1);</w:t>
      </w:r>
      <w:r>
        <w:rPr>
          <w:rFonts w:ascii="Times New Roman" w:hAnsi="Times New Roman"/>
          <w:i/>
          <w:color w:val="C9211E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природные ресурсы и охрана окружающей среды (79):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земельные вопросы (46); лесное хозяйство (17); охрана окружающей природной среды (6); охрана животного мира (5); водное хозяйство и экология (3); природные ресурсы (2);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информация и информатизация (3); финансы (1).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Актуальными вопросами в сфере экономики для жителей являются: благоустройство и ремонт дорог и тротуаров, уборка снега, мусора и посторонних предметов, земельные вопросы, уборка снега, мусора и посторонних предметов, транспортное обслуживание населения.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tbl>
      <w:tblPr>
        <w:tblW w:w="974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089"/>
        <w:gridCol w:w="1426"/>
        <w:gridCol w:w="1422"/>
        <w:gridCol w:w="1275"/>
      </w:tblGrid>
      <w:tr>
        <w:trPr>
          <w:trHeight w:val="47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2025 года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 2025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2024 года</w:t>
            </w:r>
          </w:p>
        </w:tc>
      </w:tr>
      <w:tr>
        <w:trPr>
          <w:trHeight w:val="284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Благоустройство и ремонт подъездных дорог и тротуаров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</w:tr>
      <w:tr>
        <w:trPr>
          <w:trHeight w:val="275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Комплексное благоустройство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Земельные вопросы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4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Уборка мусора и посторонних предметов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bidi="ar-SA"/>
              </w:rPr>
              <w:t>5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Транспортное обслуживание населения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7 – 1%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3%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3%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 и охрана правопорядка (3); оборона (3); правосудие (1)</w:t>
      </w:r>
      <w:r>
        <w:rPr>
          <w:rFonts w:eastAsia="Microsoft YaHei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«Жилищно–коммунальная сфера» – 131 – 21%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125 – 25%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года – 217 – 29%)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коммунальное хозяйство (92):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обращение с твердыми коммунальными отходами (29); коммунально-бытовое хозяйство и предоставление услуг в условиях рынка (24); содержание общего имущества (11); деятельность управляющих компаний (10); оплата коммунальных услуг и электроэнергии, в том числе ль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готы, субсидии (9); несанкционированная свалка мусора (3); перебои в водо-, газо- и электроснабжении (3); ремонт и эксплуатация ливневой канализации (1); предоставление коммунальных услуг ненадлежащего качества (1); подключение индивидуальных жилых домов к централизованным сетям водоснабжения (1);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общие положения жилищного законодательства (21); обеспечение граждан жилищем (10); перевод помещений из жилых в нежилые (3); нежилые помещения (2); дачное хозяйство (2); оплата строительства жилья (1).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жилищно-коммунальной сфере для жителей являются: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обращение с твердыми коммунальными отходами, коммунально-бытовое хозяйство и предоставление услуг в условиях рынка, нормативно-правовое регулирование обеспечения условий для осуществления гражданами права на жилище, обеспечение граждан жильем, деятельность управляющих организаций.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C9211E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264"/>
        <w:gridCol w:w="1361"/>
        <w:gridCol w:w="1365"/>
        <w:gridCol w:w="1199"/>
      </w:tblGrid>
      <w:tr>
        <w:trPr>
          <w:trHeight w:val="47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II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 квартал 2025 года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II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года</w:t>
            </w:r>
          </w:p>
        </w:tc>
      </w:tr>
      <w:tr>
        <w:trPr>
          <w:trHeight w:val="476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Обращение с твердыми коммунальными отходами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</w:tr>
      <w:tr>
        <w:trPr>
          <w:trHeight w:val="476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</w:tr>
      <w:tr>
        <w:trPr>
          <w:trHeight w:val="476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</w:tr>
      <w:tr>
        <w:trPr>
          <w:trHeight w:val="284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Содержание общего имущества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</w:tr>
      <w:tr>
        <w:trPr>
          <w:trHeight w:val="284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Деятельность управляющих организаций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2025 года количество вопросов в письменных обращениях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увеличилось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разделах: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экономика на 51% (на 120 вопросов)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государство, общество, политика на 13% (на 3 вопроса);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на 6% (на 3 вопроса).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на 5% (на 6 вопросов);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разделе: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- обо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рона, безопасность, законность в 2 раза (на 6 вопросов).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вопросов в письменных обращениях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уменьшилось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всех разделах: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- оборона, безопасность, законность в 3 раза (на 14 вопросов);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на 40% (на 86 вопросов);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государство, общество, политика на 6% (на 6 вопросов);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на 2% (на 1 вопрос);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экономика на 1% (на 3 вопроса).</w:t>
      </w:r>
    </w:p>
    <w:p>
      <w:pPr>
        <w:pStyle w:val="Normal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всех письменных обращений, поступивших 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года:  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31 обращение – 5%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33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обращения – 7%,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але 2024 года – 22 обращения – 3%);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33 обращения – 6%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ода – 14 обращений – 3%,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года – 48 обращений – 7%).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года:  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2 обращения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года – 4 обращения – 1%,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 года – 2 обращения – 1%);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567 обращений – 96%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а – 467 обращений – 97%, 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2024 года – 668 обращений – 99%);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перенаправлено по компетенции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>
        <w:rPr>
          <w:rFonts w:ascii="Times New Roman" w:hAnsi="Times New Roman"/>
          <w:color w:themeColor="text1" w:val="000000"/>
          <w:sz w:val="28"/>
          <w:szCs w:val="28"/>
          <w:shd w:fill="auto" w:val="clear"/>
          <w:lang w:eastAsia="ru-RU"/>
        </w:rPr>
        <w:t xml:space="preserve">учреждения – 19 обращений – 3% 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(в 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auto" w:val="clear"/>
          <w:lang w:val="en-US" w:eastAsia="ru-RU" w:bidi="ar-SA"/>
        </w:rPr>
        <w:t>I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квартале 2025 г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ода – 12 обращений – 2%, во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en-US" w:eastAsia="ru-RU" w:bidi="ar-SA"/>
        </w:rPr>
        <w:t>II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квартале 2024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года – 0).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  Личный прием граждан Главой города, заместителями главы администрации, руководителями структурных подразделений администрации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Главой города Бердска, заместителями главы администрации и руководителями структурных подразделений администрации приняты 34 человека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39 человек – 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48 человек – 4%).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2025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13% (на 5 обращений).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29% (на 14 обращений).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обращениях на личных приемах жителями были подняты 39 вопросов в тематических разделах: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(13);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(12);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(6);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обороны, безопасности, законности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государства, общества, политики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  Устные сообщения и запросы по справочному телефону отдела общественной приемной Главы города</w:t>
      </w:r>
    </w:p>
    <w:p>
      <w:pPr>
        <w:pStyle w:val="Normal"/>
        <w:widowControl w:val="false"/>
        <w:shd w:val="clear" w:fill="FFFFFF"/>
        <w:spacing w:lineRule="auto" w:line="240" w:before="0" w:after="0"/>
        <w:ind w:left="311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по справочному телефону отдела общественной приемной Главы города Бердска поступило 23 сообщения – 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42 сообщения – 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62 сообщения – 5%)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в форме смс-сообщений – 3 сообщения – 13%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 сообщения – 10%,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12 сообщений – 19%).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2025 года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45% (на 19 сообщений).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63% (на 39 сообщений).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города Бердска были подняты 24 вопроса в тематических разделах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(11);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государства, общества, политики (8);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(3);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сфера природных ресурсов (1);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(1).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 Прием граждан специалистами отдела общественной приемной Главы города.</w:t>
      </w:r>
    </w:p>
    <w:p>
      <w:pPr>
        <w:pStyle w:val="Normal"/>
        <w:widowControl w:val="false"/>
        <w:shd w:val="clear" w:fill="FFFFFF"/>
        <w:spacing w:lineRule="auto" w:line="240" w:before="0" w:after="0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в отдел общественной приемной Главы города поступило от жителей 10 обращений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– 11 обращений – 1%,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11 обращений – 1%).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2025 года количество личных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осталось на том же уровне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личных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осталось на том же уровне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специалистам отдела общественной приемной жители обращались с вопросом записи на личный прием к Главе города Бердска.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1844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  Сообщения граждан через платформу обратной связи.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через цифровую платформу обратной связи – подсистему Единого портала «Госуслуги. Решаем вместе» (ПОС) в администрацию города Бердска было направлено 844 сообщения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– 5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2025 года – 449 сообщений – 44%, 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461 сообщение – 36%).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2025 года количество электронных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88% (на 395 сообщений).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электронных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83% (на 383 сообщения).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Вопросы, поднимаемые жителями в электронных сообщениях, относятся к тематическим разделам: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(643);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жилищно-коммунальная сфера (107);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(59);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(24);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сфера государства, общества, политики (8);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обороны, безопасности, законности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информации и информатизации (1).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меры, в том числе с указанием сроков выполнения работ.</w:t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2204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6.  Мобильная группа Главы города Бердска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2025 года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мобильной группой было осуществлено 23 выезда, в ходе которых отработан 61 вопрос. По всем вопросам приняты меры и проверено качество выполненных работ.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849" w:gutter="0" w:header="708" w:top="851" w:footer="0" w:bottom="709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numPr>
        <w:ilvl w:val="0"/>
        <w:numId w:val="0"/>
      </w:numPr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pPr>
      <w:keepNext w:val="true"/>
      <w:numPr>
        <w:ilvl w:val="0"/>
        <w:numId w:val="0"/>
      </w:numPr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2">
    <w:name w:val="Заголовок 2 Знак"/>
    <w:basedOn w:val="DefaultParagraphFont"/>
    <w:qFormat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>
    <w:name w:val="Основной текст Знак"/>
    <w:basedOn w:val="DefaultParagraphFont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3">
    <w:name w:val="Основной текст с отступом Знак"/>
    <w:basedOn w:val="DefaultParagraphFont"/>
    <w:link w:val="BodyTextIndented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Pr>
      <w:rFonts w:cs="Times New Roman"/>
    </w:rPr>
  </w:style>
  <w:style w:type="character" w:styleId="Style15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6">
    <w:name w:val="Нижний колонтитул Знак"/>
    <w:basedOn w:val="DefaultParagraphFont"/>
    <w:qFormat/>
    <w:rPr>
      <w:lang w:eastAsia="en-US"/>
    </w:rPr>
  </w:style>
  <w:style w:type="character" w:styleId="gwt-inlinelabel">
    <w:name w:val="gwt-inlinelabel"/>
    <w:basedOn w:val="DefaultParagraphFont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link w:val="Style13"/>
    <w:qFormat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>
    <w:name w:val="Основной текст 21"/>
    <w:basedOn w:val="Normal"/>
    <w:qFormat/>
    <w:pPr>
      <w:overflowPunct w:val="false"/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>
    <w:name w:val="Основной текст с отступом 31"/>
    <w:basedOn w:val="Normal"/>
    <w:qFormat/>
    <w:pPr>
      <w:overflowPunct w:val="false"/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>
    <w:name w:val="Знак"/>
    <w:basedOn w:val="Normal"/>
    <w:qFormat/>
    <w:pPr>
      <w:widowControl w:val="false"/>
      <w:spacing w:lineRule="atLeast" w:line="360" w:before="280" w:after="280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>
    <w:name w:val="Абзац списка1"/>
    <w:basedOn w:val="Normal"/>
    <w:qFormat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  <a:ea typeface="DejaVu Sans"/>
              </a:rPr>
              <a:t>Структура и количество обращений, поступивших 
в администрацию города Бердска во II квартале 2025 года
в сравнении с I кварталом 2025 года и II кварталом 2024 года.</a:t>
            </a:r>
          </a:p>
        </c:rich>
      </c:tx>
      <c:layout>
        <c:manualLayout>
          <c:xMode val="edge"/>
          <c:yMode val="edge"/>
          <c:x val="0.169652327637007"/>
          <c:y val="0.00154106950223455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19375"/>
          <c:y val="0.295"/>
          <c:w val="0.9066875"/>
          <c:h val="0.502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 квартал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0191437007874"/>
                  <c:y val="-0.0023523084204638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71213910761155"/>
                  <c:y val="0.00091433242975780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-0.0008341475563729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03006318318"/>
                  <c:y val="0.005464480874316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38648293963255"/>
                  <c:y val="-0.01043930984036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1499</c:v>
                </c:pt>
                <c:pt idx="1">
                  <c:v>588</c:v>
                </c:pt>
                <c:pt idx="2">
                  <c:v>34</c:v>
                </c:pt>
                <c:pt idx="3">
                  <c:v>23</c:v>
                </c:pt>
                <c:pt idx="4">
                  <c:v>10</c:v>
                </c:pt>
                <c:pt idx="5">
                  <c:v>844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 квартал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9513340532115"/>
                  <c:y val="-0.050936338482138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22362204724409"/>
                  <c:y val="-0.002488705305279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-0.0036379673852243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8648180242634"/>
                  <c:y val="0.0020702675323479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38648180242634"/>
                  <c:y val="8.57689896961347E-01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201543991985385"/>
                  <c:y val="0.00246609124537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1024</c:v>
                </c:pt>
                <c:pt idx="1">
                  <c:v>483</c:v>
                </c:pt>
                <c:pt idx="2">
                  <c:v>39</c:v>
                </c:pt>
                <c:pt idx="3">
                  <c:v>42</c:v>
                </c:pt>
                <c:pt idx="4">
                  <c:v>11</c:v>
                </c:pt>
                <c:pt idx="5">
                  <c:v>449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391258224133799"/>
                  <c:y val="0.028738435269777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207972270363952"/>
                  <c:y val="0.002668990146723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0.001821350200077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84864240323512"/>
                  <c:y val="0.0016424996055820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5540150202195"/>
                  <c:y val="0.00078611075254937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247510165596087"/>
                  <c:y val="0.007090012330456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1252</c:v>
                </c:pt>
                <c:pt idx="1">
                  <c:v>670</c:v>
                </c:pt>
                <c:pt idx="2">
                  <c:v>48</c:v>
                </c:pt>
                <c:pt idx="3">
                  <c:v>62</c:v>
                </c:pt>
                <c:pt idx="4">
                  <c:v>11</c:v>
                </c:pt>
                <c:pt idx="5">
                  <c:v>461</c:v>
                </c:pt>
              </c:numCache>
            </c:numRef>
          </c:val>
        </c:ser>
        <c:gapWidth val="150"/>
        <c:shape val="box"/>
        <c:axId val="33820678"/>
        <c:axId val="21424671"/>
        <c:axId val="0"/>
      </c:bar3DChart>
      <c:catAx>
        <c:axId val="3382067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8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21424671"/>
        <c:crosses val="autoZero"/>
        <c:auto val="1"/>
        <c:lblAlgn val="ctr"/>
        <c:lblOffset val="100"/>
        <c:noMultiLvlLbl val="0"/>
      </c:catAx>
      <c:valAx>
        <c:axId val="21424671"/>
        <c:scaling>
          <c:orientation val="minMax"/>
          <c:max val="1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33820678"/>
        <c:crosses val="autoZero"/>
        <c:crossBetween val="between"/>
        <c:majorUnit val="300"/>
      </c:valAx>
    </c:plotArea>
    <c:legend>
      <c:legendPos val="r"/>
      <c:layout>
        <c:manualLayout>
          <c:xMode val="edge"/>
          <c:yMode val="edge"/>
          <c:x val="0.7921875"/>
          <c:y val="0.199777777777778"/>
          <c:w val="0.207450465654103"/>
          <c:h val="0.2202466940771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  <a:ea typeface="DejaVu Sans"/>
              </a:rPr>
              <a:t>Виды письменных обращений, поступивших в 
администрацию города Бердска во II квартале 2025 года
в сравнении с I кварталом 2025 года и II кварталом 2024 года.
</a:t>
            </a:r>
          </a:p>
        </c:rich>
      </c:tx>
      <c:layout>
        <c:manualLayout>
          <c:xMode val="edge"/>
          <c:yMode val="edge"/>
          <c:x val="0.115632197484202"/>
          <c:y val="0.03452790050728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73125"/>
          <c:y val="0.312111111111111"/>
          <c:w val="0.9043125"/>
          <c:h val="0.5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 квартал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03006318318"/>
                  <c:y val="0.004861805317813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61756210283073"/>
                  <c:y val="0.001769073737577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84864240323512"/>
                  <c:y val="0.009156681501768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21201617562"/>
                  <c:y val="0.012622617824945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553</c:v>
                </c:pt>
                <c:pt idx="1">
                  <c:v>1</c:v>
                </c:pt>
                <c:pt idx="2">
                  <c:v>29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 квартал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61754390753149"/>
                  <c:y val="0.00086454410589980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636071271"/>
                  <c:y val="-0.00029578911331735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61754390753149"/>
                  <c:y val="0.0037238388679675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21201617562"/>
                  <c:y val="0.009166267260070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457</c:v>
                </c:pt>
                <c:pt idx="1">
                  <c:v>6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61756210283073"/>
                  <c:y val="-0.013303206664384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8180242634"/>
                  <c:y val="-0.008956749971470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8180242634"/>
                  <c:y val="0.0057971014492753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693240901213172"/>
                  <c:y val="0.0084345543763551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636</c:v>
                </c:pt>
                <c:pt idx="1">
                  <c:v>7</c:v>
                </c:pt>
                <c:pt idx="2">
                  <c:v>20</c:v>
                </c:pt>
                <c:pt idx="3">
                  <c:v>4</c:v>
                </c:pt>
              </c:numCache>
            </c:numRef>
          </c:val>
        </c:ser>
        <c:gapWidth val="150"/>
        <c:shape val="box"/>
        <c:axId val="20299986"/>
        <c:axId val="71516637"/>
        <c:axId val="0"/>
      </c:bar3DChart>
      <c:catAx>
        <c:axId val="2029998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71516637"/>
        <c:crosses val="autoZero"/>
        <c:auto val="1"/>
        <c:lblAlgn val="ctr"/>
        <c:lblOffset val="100"/>
        <c:noMultiLvlLbl val="0"/>
      </c:catAx>
      <c:valAx>
        <c:axId val="71516637"/>
        <c:scaling>
          <c:orientation val="minMax"/>
          <c:max val="7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20299986"/>
        <c:crosses val="autoZero"/>
        <c:crossBetween val="between"/>
        <c:majorUnit val="100"/>
        <c:minorUnit val="3.33333333333333"/>
      </c:valAx>
    </c:plotArea>
    <c:legend>
      <c:legendPos val="r"/>
      <c:layout>
        <c:manualLayout>
          <c:xMode val="edge"/>
          <c:yMode val="edge"/>
          <c:x val="0.7301875"/>
          <c:y val="0.352"/>
          <c:w val="0.215013438339896"/>
          <c:h val="0.26414046005111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  <a:ea typeface="DejaVu Sans"/>
              </a:rPr>
              <a:t>Тематика письменных обращений, поступивших в 
администрацию города Бердска во II квартале 2025 года
в сравнении с I кварталом 2025 года и II кварталом 2024 года.
</a:t>
            </a:r>
          </a:p>
        </c:rich>
      </c:tx>
      <c:layout>
        <c:manualLayout>
          <c:xMode val="edge"/>
          <c:yMode val="edge"/>
          <c:x val="0.12059292505758"/>
          <c:y val="0.00119994000299985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"/>
          <c:y val="0.328"/>
          <c:w val="1"/>
          <c:h val="0.415333333333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 квартал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40921916010499"/>
                  <c:y val="0.0053639128442278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92568897637795"/>
                  <c:y val="0.003170844102502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0989173228346"/>
                  <c:y val="-0.003361663125442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19717847769"/>
                  <c:y val="-0.0011907934585099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0705910371453289"/>
                  <c:y val="0.01251901718105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92</c:v>
                </c:pt>
                <c:pt idx="1">
                  <c:v>51</c:v>
                </c:pt>
                <c:pt idx="2">
                  <c:v>354</c:v>
                </c:pt>
                <c:pt idx="3">
                  <c:v>7</c:v>
                </c:pt>
                <c:pt idx="4">
                  <c:v>131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 квартал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7813320209974"/>
                  <c:y val="0.001021955588884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69816272965879"/>
                  <c:y val="0.004792129991384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6175688976378"/>
                  <c:y val="-0.0080314960629921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47047244094488"/>
                  <c:y val="-0.00068783068783068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487903175927418"/>
                  <c:y val="-0.001181518976794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87</c:v>
                </c:pt>
                <c:pt idx="1">
                  <c:v>48</c:v>
                </c:pt>
                <c:pt idx="2">
                  <c:v>234</c:v>
                </c:pt>
                <c:pt idx="3">
                  <c:v>13</c:v>
                </c:pt>
                <c:pt idx="4">
                  <c:v>125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180242634"/>
                  <c:y val="0.0045922602697918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814960629921"/>
                  <c:y val="0.0028233393902685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207972440944882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47063648293963"/>
                  <c:y val="0.002131400241636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7139107611549"/>
                  <c:y val="0.004866662659533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98</c:v>
                </c:pt>
                <c:pt idx="1">
                  <c:v>52</c:v>
                </c:pt>
                <c:pt idx="2">
                  <c:v>357</c:v>
                </c:pt>
                <c:pt idx="3">
                  <c:v>21</c:v>
                </c:pt>
                <c:pt idx="4">
                  <c:v>217</c:v>
                </c:pt>
              </c:numCache>
            </c:numRef>
          </c:val>
        </c:ser>
        <c:gapWidth val="150"/>
        <c:shape val="box"/>
        <c:axId val="8803411"/>
        <c:axId val="69547588"/>
        <c:axId val="0"/>
      </c:bar3DChart>
      <c:catAx>
        <c:axId val="880341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5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69547588"/>
        <c:crosses val="autoZero"/>
        <c:auto val="1"/>
        <c:lblAlgn val="ctr"/>
        <c:lblOffset val="100"/>
        <c:noMultiLvlLbl val="0"/>
      </c:catAx>
      <c:valAx>
        <c:axId val="69547588"/>
        <c:scaling>
          <c:orientation val="minMax"/>
          <c:max val="4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  <a:ea typeface="DejaVu Sans"/>
              </a:defRPr>
            </a:pPr>
          </a:p>
        </c:txPr>
        <c:crossAx val="8803411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8051875"/>
          <c:y val="0.203666666666667"/>
          <c:w val="0.18588661791362"/>
          <c:h val="0.196799644404934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Application>LibreOffice/24.2.4.2$Linux_X86_64 LibreOffice_project/51a6219feb6075d9a4c46691dcfe0cd9c4fff3c2</Application>
  <AppVersion>15.0000</AppVersion>
  <Pages>8</Pages>
  <Words>2087</Words>
  <Characters>12582</Characters>
  <CharactersWithSpaces>14640</CharactersWithSpaces>
  <Paragraphs>213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2023-02-03T01:26:00Z</dcterms:created>
  <dc:creator>Shalgunova</dc:creator>
  <dc:description/>
  <dc:language>ru-RU</dc:language>
  <cp:lastModifiedBy/>
  <cp:lastPrinted>2025-07-24T10:29:25Z</cp:lastPrinted>
  <dcterms:modified xsi:type="dcterms:W3CDTF">2025-08-12T15:20:16Z</dcterms:modified>
  <cp:revision>270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