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drawings/_rels/drawing3.xml.rels" ContentType="application/vnd.openxmlformats-package.relationships+xml"/>
  <Override PartName="/word/drawings/drawing3.xml" ContentType="application/vnd.openxmlformats-officedocument.drawingml.chartshapes+xml"/>
  <Override PartName="/word/header1.xml" ContentType="application/vnd.openxmlformats-officedocument.wordprocessingml.header+xml"/>
  <Override PartName="/word/charts/_rels/chart1.xml.rels" ContentType="application/vnd.openxmlformats-package.relationships+xml"/>
  <Override PartName="/word/charts/_rels/chart2.xml.rels" ContentType="application/vnd.openxmlformats-package.relationships+xml"/>
  <Override PartName="/word/charts/_rels/chart3.xml.rels" ContentType="application/vnd.openxmlformats-package.relationships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1.xml" ContentType="application/vnd.openxmlformats-officedocument.drawingml.chart+xml"/>
  <Override PartName="/word/media/image1.wmf" ContentType="image/x-wmf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embeddings/Microsoft_Excel_Worksheet2.xlsx" ContentType="application/vnd.openxmlformats-officedocument.spreadsheetml.sheet"/>
  <Override PartName="/word/embeddings/Microsoft_Excel_Worksheet3.xlsx" ContentType="application/vnd.openxmlformats-officedocument.spreadsheetml.sheet"/>
  <Override PartName="/word/embeddings/Microsoft_Excel_Worksheet1.xlsx" ContentType="application/vnd.openxmlformats-officedocument.spreadsheetml.sheet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Информационно-аналитический обзор обращений граждан, поступивших в администрацию города Бердска Новосибирской области в октябре 2025 года, и результаты их рассмотрения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0"/>
          <w:lang w:eastAsia="ru-RU"/>
        </w:rPr>
        <w:t xml:space="preserve">Рассмотрение обращений граждан, организаций и общественных объединений (далее – граждан), адресованных Главе города Бердска Новосибирской области, ведется в соответствии с Конституцией Российской Федерации, действующим федеральным и областным законодательством, нормативными правовыми актами города Бердска Новосибирской области. Организацию работы по объективному, всестороннему и своевременному рассмотрению обращений </w:t>
      </w:r>
      <w:r>
        <w:rPr>
          <w:rFonts w:ascii="Times New Roman" w:hAnsi="Times New Roman"/>
          <w:sz w:val="28"/>
          <w:szCs w:val="28"/>
          <w:lang w:eastAsia="ru-RU"/>
        </w:rPr>
        <w:t xml:space="preserve">осуществляет </w:t>
      </w:r>
      <w:r>
        <w:rPr>
          <w:rFonts w:ascii="Times New Roman" w:hAnsi="Times New Roman"/>
          <w:sz w:val="28"/>
          <w:szCs w:val="28"/>
        </w:rPr>
        <w:t>отдел общественной приемной Главы города Бердска управления документационного обеспечения и контроля</w:t>
      </w:r>
      <w:r>
        <w:rPr>
          <w:rFonts w:ascii="Times New Roman" w:hAnsi="Times New Roman"/>
          <w:sz w:val="28"/>
          <w:szCs w:val="28"/>
          <w:lang w:eastAsia="ru-RU"/>
        </w:rPr>
        <w:t xml:space="preserve"> администрации города Бердска.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октябре 2025 года Главе города Бердска, заместителям главы администрации поступило 429 обращений (в сентябре 2025 года – 584 обращения, в октябре 2024 года – 502 обращения), в том числе: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письменных обращений – 188 (в сентябре 2025 года – 168, в октябре 2024 года – 259);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обращений на личных приемах граждан Главой города, заместителями главы администрации – 7 (в сентябре 2025 года – 10, в октябре 2024 года – 13);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устных сообщений и запросов по справочному телефону отдела общественной приемной Главы города, поставленных на контроль – 14 (в сентябре 2025 года – 7, в октябре 2024 года – 17);</w:t>
      </w:r>
    </w:p>
    <w:p>
      <w:pPr>
        <w:pStyle w:val="Normal"/>
        <w:widowControl w:val="false"/>
        <w:numPr>
          <w:ilvl w:val="0"/>
          <w:numId w:val="1"/>
        </w:numPr>
        <w:shd w:val="clear" w:color="auto" w:fill="FFFFFF"/>
        <w:spacing w:lineRule="auto" w:line="240" w:before="0" w:after="0"/>
        <w:ind w:hanging="360" w:left="72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личных обращений к специалистам отдела общественной приемной Главы города, требующих принятия мер – 3 (в сентябре 2025 года – 3, в октябре 2024 года – 2);</w:t>
      </w:r>
    </w:p>
    <w:p>
      <w:pPr>
        <w:pStyle w:val="Normal"/>
        <w:widowControl w:val="false"/>
        <w:numPr>
          <w:ilvl w:val="0"/>
          <w:numId w:val="1"/>
        </w:numPr>
        <w:shd w:val="clear" w:fill="FFFFFF"/>
        <w:spacing w:lineRule="auto" w:line="240" w:before="0" w:after="0"/>
        <w:ind w:hanging="360" w:left="72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сообщений через цифровую платформу обратной связи – подсистему Единого портала «Госуслуги» (ПОС) – 217 (в сентябре 2025 года – 396, в октябре 2024 года – 211).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20"/>
        <w:jc w:val="both"/>
        <w:rPr>
          <w:rFonts w:ascii="Times New Roman" w:hAnsi="Times New Roman"/>
          <w:color w:val="C9211E"/>
          <w:sz w:val="28"/>
          <w:szCs w:val="28"/>
          <w:lang w:eastAsia="ru-RU"/>
        </w:rPr>
      </w:pPr>
      <w:r>
        <w:rPr>
          <w:rFonts w:ascii="Times New Roman" w:hAnsi="Times New Roman"/>
          <w:color w:val="C9211E"/>
          <w:sz w:val="28"/>
          <w:szCs w:val="28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55055" cy="2386965"/>
            <wp:effectExtent l="0" t="0" r="0" b="0"/>
            <wp:docPr id="1" name="Диаграмма 5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"/>
              </a:graphicData>
            </a:graphic>
          </wp:inline>
        </w:drawing>
      </w:r>
    </w:p>
    <w:p>
      <w:pPr>
        <w:pStyle w:val="Normal"/>
        <w:rPr>
          <w:color w:val="C9211E"/>
        </w:rPr>
      </w:pPr>
      <w:r>
        <w:rPr>
          <w:color w:val="C9211E"/>
        </w:rPr>
      </w:r>
    </w:p>
    <w:p>
      <w:pPr>
        <w:pStyle w:val="Normal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2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1.</w:t>
        <w:tab/>
        <w:t>Письменные обращения граждан.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2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октябре 2025 года Главе города Бердска, заместителям главы администрации поступило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188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письменных обращений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сентябре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168, в октябре 2024 года – 259), в том числе в форме электронного документа через официальный сайт администрации города Бердска – 54 обращения (в 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сентябре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2025 года – 53, в октябре 2024 года – 112).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Поступившие обращения граждан были направлены на рассмотрение в администрацию города Бердска: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- 23 – </w:t>
      </w: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из прокуратуры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- 21 – из федеральных органов исполнительной власти и исполнительных органов государственной власти Новосибирской области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- 18 – из Управления по работе с обращениями граждан – общественной приемной Губернатора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- 8 – из Совета депутатов города Бердска;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- 3 – от Уполномоченного по правам ребенка в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- 2 – из Законодательного Собрания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- 2 – из иных органов местного самоуправления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8"/>
          <w:szCs w:val="28"/>
          <w:lang w:eastAsia="ru-RU"/>
        </w:rPr>
        <w:t>1 – от РОП Председателя Партии «Единая Россия» Д.А. Медведева в Новосибирской области;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- 110 – непосредственно от жителей города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46800" cy="2125345"/>
            <wp:effectExtent l="0" t="0" r="0" b="0"/>
            <wp:docPr id="2" name="Диаграмма 1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"/>
              </a:graphicData>
            </a:graphic>
          </wp:inline>
        </w:drawing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видам письменные обращения подразделяются на: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заявления – 166 (в сентябре 2025 года – 159, в октябре 2024 года – 244);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жалобы – 5 (в сентябре 2025 года – 1, в октябре 2024 года – 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запросы – 15 (в сентябре 2025 года – 8, в октябре 2024 года – 10);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не обращения (благодарности, приглашения и т.п.) – 2 (в сентябре 2025 года – 0, в октябре 2024 года – 2).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188 письменных обращениях содержится 206 вопросов, относящихся к следующим тематическим разделам: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color w:val="C9211E"/>
          <w:sz w:val="20"/>
          <w:szCs w:val="20"/>
          <w:lang w:eastAsia="ru-RU"/>
        </w:rPr>
      </w:pPr>
      <w:r>
        <w:rPr>
          <w:rFonts w:ascii="Times New Roman" w:hAnsi="Times New Roman"/>
          <w:color w:val="C9211E"/>
          <w:sz w:val="20"/>
          <w:szCs w:val="20"/>
          <w:lang w:eastAsia="ru-RU"/>
        </w:rPr>
      </w:r>
    </w:p>
    <w:p>
      <w:pPr>
        <w:pStyle w:val="Normal"/>
        <w:rPr>
          <w:color w:val="C9211E"/>
        </w:rPr>
      </w:pPr>
      <w:r>
        <w:rPr/>
        <w:drawing>
          <wp:inline distT="0" distB="0" distL="0" distR="0">
            <wp:extent cx="6124575" cy="2408555"/>
            <wp:effectExtent l="0" t="0" r="0" b="0"/>
            <wp:docPr id="3" name="Диаграмма 3" descr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«Государство, общество, политика» – 20 – 10%: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конституционный строй – 13 (в сентябре 2025 года – 7, в октябре 2024 года – 21)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деятельность некоммерческих организаций (6); предоставление информации (3); деятельность органов местного самоуправления (3); памятные даты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основы государственного управления – 6 (в сентябре 2025 года – 10, в октябре 2024 года – 9)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– результаты рассмотрения обращений (3); представление дополнительных документов и материалов (3).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гражданское право – 1 (в сентябре 2025 года – 2, в октябре 2024 года – 3) -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обращение имущества в муниципальную собственность (1).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«Социальная сфера» – 24 – 12%: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образование, наука, культура – 10 (в сентябре 2025 года – 8, в октябре 2024 года – 9)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конфликтные ситуации в образовательных организациях (7); контроль качества и надзор в сфере образования (2); питание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обучающихся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социальное обеспечение – 6 (в сентябре 2025 года – 5, в октябре 2023 года – 10)</w:t>
      </w:r>
      <w:r>
        <w:rPr>
          <w:rFonts w:ascii="Times New Roman" w:hAnsi="Times New Roman"/>
          <w:color w:val="C9211E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– предоставление дополнительных льгот отдельным категориям граждан (4); предоставление льгот в связи с присвоением почетных званий (1); установление опеки над недееспособными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здравоохранение – 4 (в сентябре 2025 года – 1, в октябре 2024 года – 9)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медицинское обслуживание (2); санитарно-эпидемиологическое благополучие населения (1); лекарственное обеспечение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- семья – 2 (в сентябре 2025 года – 1, в октябре 2024 года – 0)</w:t>
      </w:r>
      <w:r>
        <w:rPr>
          <w:rFonts w:eastAsia="Calibri" w:cs="Times New Roman" w:ascii="Times New Roman" w:hAnsi="Times New Roman"/>
          <w:i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6"/>
          <w:szCs w:val="26"/>
          <w:lang w:val="ru-RU" w:eastAsia="ru-RU" w:bidi="ar-SA"/>
        </w:rPr>
        <w:t>–</w:t>
      </w:r>
      <w:r>
        <w:rPr>
          <w:rFonts w:eastAsia="Times New Roman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многодетные семьи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(2).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- физическая культура и спорт – 1 (в сентябре 2025 года – </w:t>
      </w:r>
      <w:r>
        <w:rPr>
          <w:rFonts w:eastAsia="Calibri" w:cs="Times New Roman" w:ascii="Times New Roman" w:hAnsi="Times New Roman"/>
          <w:i w:val="false"/>
          <w:iCs w:val="false"/>
          <w:color w:val="000000"/>
          <w:kern w:val="0"/>
          <w:sz w:val="28"/>
          <w:szCs w:val="28"/>
          <w:lang w:val="ru-RU" w:eastAsia="ru-RU" w:bidi="ar-SA"/>
        </w:rPr>
        <w:t>1, в октябре 2024 года – 0)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 – д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оступность физической культуры и спорта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- труд и занятость населения – 1 (в сентябре 2025 года – 0, в октябре 2024 года – 2) 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нормативное правовое регулирование в сфере труда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«Экономика» – 89 – 43%: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хозяйственная деятельность – 72 (в сентябре 2025 года – 87, в сентябре 2024 года – 89)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благоустройство и ремонт подъездных дорог и тротуаров (17); компле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ксное благоустройство (9); уборка мусора и посторонних предметов (8); содержание транспортной инфраструктуры (7);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строительство (4);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транспортное обслуживание нас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еления (4); водоотведение (3); сельское хозяйство (3); парковка автотранспорта (3); промышленность (3); газификация поселений (3); торговля (2); уличное освещение (2); водоснабжение поселения (1); дорожные знаки и дорожная разметка (1); безопасность дорожного движения (1); электрификация поселений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природные ресурсы и охрана окружающей среды – 17 (в сентябре 2025 года – 15, в октябре 2024 года – 31)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земельный надзор (12); лесное хозяйство (4); охрана окружающей природной среды (1).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b/>
          <w:color w:val="C9211E"/>
          <w:sz w:val="28"/>
          <w:szCs w:val="28"/>
          <w:lang w:eastAsia="ru-RU"/>
        </w:rPr>
        <w:t xml:space="preserve">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«Оборона, безопасность, законность» – 6 – 3%: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- оборона – 3 (в сентябре 2025 года – 2, в октябре 2024 года – 6)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>–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 реализация мер правовой и социальной защиты военнослужащих (3).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безопасность и охрана правопорядка – 3 (в сентябре 2025 года – 4, в октябре 2024 года – 5) –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охрана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общественного порядка (1); нарушение правил парковки (1); несанкционированная торговля (1).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«Жилищно - коммунальная сфера» – 67 – 32%:</w:t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коммунальное хозяйство – 53 (в сентябре 2025 года – 37, в октябре 2024 года – 80) 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>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коммунально-бытовое хозяйство и предоставление услуг в условиях рынка (25);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 xml:space="preserve">деятельность управляющих организаций (5);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содержание общего имущества (4); оплата жилищно-коммунальных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услуг (4);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перебои в т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епло- и водоснабжении (4); подключение индивидуальных жилых домов к централизованным сетям водо-, газо-, электроснабжения и водоотведения (3); предоставление коммунальных услуг ненадлежащего качества (2); устранение аварийных ситуаций на магистральных коммуникациях (2); ремонт и эксплуатация ливневой канализации (2); отключение газоснабжения за неуплату (1); приборы учета коммунальных ресурсов (1).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обеспечение граждан жилищем – 5 (в сентябре 2025 года – 1, в октябре 2024 года – 7) –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переселение из аварийных домов (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4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); обеспечение жильем детей-сирот (1).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общие положения жилищного законодательства – 5 (в сентябре 2025 года – 4, в октябре 2024 года – 9)</w:t>
      </w:r>
      <w:r>
        <w:rPr>
          <w:rFonts w:eastAsia="Calibri" w:cs="Times New Roman" w:ascii="Times New Roman" w:hAnsi="Times New Roman"/>
          <w:i/>
          <w:color w:val="000000"/>
          <w:kern w:val="0"/>
          <w:sz w:val="28"/>
          <w:szCs w:val="28"/>
          <w:lang w:val="ru-RU" w:eastAsia="ru-RU" w:bidi="ar-SA"/>
        </w:rPr>
        <w:t xml:space="preserve"> –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нормативно-правовое регулирование обеспечения условий для осуществления гражданами права на жилище (5).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>- дачное хозяйство – 3 (в сентябре 2025 года – 1, в октябре 2024 года – 0) –</w:t>
      </w:r>
      <w:r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дачное хозяйство (3).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Calibri" w:cs="Times New Roman" w:ascii="Times New Roman" w:hAnsi="Times New Roman"/>
          <w:color w:val="000000"/>
          <w:kern w:val="0"/>
          <w:sz w:val="28"/>
          <w:szCs w:val="28"/>
          <w:lang w:val="ru-RU" w:eastAsia="ru-RU" w:bidi="ar-SA"/>
        </w:rPr>
        <w:t xml:space="preserve">- нежилые помещения – 1 (в сентябре 2025 года – 0, в октябре 2024 года – 0) – </w:t>
      </w:r>
      <w:r>
        <w:rPr>
          <w:rFonts w:eastAsia="Calibri" w:cs="Times New Roman" w:ascii="Times New Roman" w:hAnsi="Times New Roman"/>
          <w:i/>
          <w:color w:val="000000"/>
          <w:kern w:val="0"/>
          <w:sz w:val="26"/>
          <w:szCs w:val="26"/>
          <w:lang w:val="ru-RU" w:eastAsia="ru-RU" w:bidi="ar-SA"/>
        </w:rPr>
        <w:t>нежилые помещения (1).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Исполнение письменных обращений граждан, поступивших в администрацию города Бердска, было поставлено на контроль.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Из всех письменных обращений, поступивших в октябре 2025 года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выездом на место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9 обращений – 5% (в сентябре 2025 года – 15 обращений – 9%, в октябре 2024 года – 8 обращений – 3%).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рассмотрено с отлагательным сроком исполнения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10 обращений – 5% (в сентябре 2025 года – 2 обращения – 1%, в октябре 2024 года – 4 обращения – 2%).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результатам рассмотрения письменных обращений граждан, поступивших в октябре 2025 года: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 xml:space="preserve">поддержано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(предложение признано целесообразным, заявление или жалоба – обоснованными и подлежащими удовлетворению) – 2 обращения – 1% (в сентябре 2025 года – 8 обращений – 5%, в октябре 2024 года – 4 обращения – 2%).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даны разъяснения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179 обращений – 95% (в сентябре 2025 года – 150 обращений – 89%, в октябре 2024 года – 254 обращения – 97%).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- перенаправлено по компетенции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в территориальные федеральные органы исполнительной власти и иные государственные органы, организации и учреждения – 7 обращений – 4% (в сентябре 2025 года – 10 обращений – 6%, в октябре 2024 года – 1 обращение – 1%).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адрес заявителей подготовлена и направлена соответствующая информация.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2.</w:t>
        <w:tab/>
        <w:t>Личный прием граждан Главой города, заместителями главы администрации, руководителями структурных подразделений администрации.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709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октябре 2025 года Главой города Бердска и руководителями структурных подразделений администрации на личном приеме приняты 7 человек (в сентябре 2025 года – 10, в сентябре 2024 года – 13).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обращениях на личных приемах жителями было поднято 8 вопросов: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</w:t>
      </w:r>
    </w:p>
    <w:p>
      <w:pPr>
        <w:pStyle w:val="Normal"/>
        <w:spacing w:lineRule="auto" w:line="240" w:before="0" w:after="0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земельный надзор (2);</w:t>
      </w:r>
    </w:p>
    <w:p>
      <w:pPr>
        <w:pStyle w:val="Normal"/>
        <w:spacing w:lineRule="auto" w:line="240" w:before="0" w:after="0"/>
        <w:rPr>
          <w:color w:val="C9211E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транспортное обслуживание населения (1);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обеспечение активной жизни инвалидов (лиц с ограниченными физическими возможностями здоровья)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трудовые отношения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спорт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органов местного самоуправления (1).</w:t>
      </w:r>
    </w:p>
    <w:p>
      <w:pPr>
        <w:pStyle w:val="Normal"/>
        <w:spacing w:lineRule="auto" w:line="240" w:before="0" w:after="0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По результатам рассмотрения обращений, заявленных на личных приемах, жителям предоставлены разъяснения.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color w:val="000000"/>
        </w:rPr>
      </w:r>
    </w:p>
    <w:p>
      <w:pPr>
        <w:pStyle w:val="Normal"/>
        <w:widowControl w:val="false"/>
        <w:numPr>
          <w:ilvl w:val="0"/>
          <w:numId w:val="0"/>
        </w:numPr>
        <w:shd w:val="clear" w:color="auto" w:fill="FFFFFF"/>
        <w:spacing w:lineRule="auto" w:line="240" w:before="0" w:after="0"/>
        <w:ind w:hanging="0" w:left="709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3.</w:t>
        <w:tab/>
        <w:t>Устные сообщения и запросы по справочному телефону отдела общественной приемной Главы города.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По справочному телефону отдела общественной приемной Главы города Бердска в октябре 2025 года зарегистрировано 14 сообщений (в сентябре 2025 года – 7, в октябре 2024 года – 17), в том числе в форме смс-сообщений – 1 (в сентябре 2025 года – 0, в октябре 2024 года – 0).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устных сообщениях жителями поднято 14 вопросов в следующих тематических разделах: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C9211E"/>
        </w:rPr>
      </w:pPr>
      <w:r>
        <w:rPr>
          <w:color w:val="C9211E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(8):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(4);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(2);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теплоснабжении (2).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(3):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sz w:val="26"/>
          <w:szCs w:val="26"/>
          <w:lang w:eastAsia="ru-RU"/>
        </w:rPr>
        <w:t xml:space="preserve">- 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запись на личный прием к Главе города</w:t>
      </w:r>
      <w:r>
        <w:rPr>
          <w:rFonts w:ascii="Times New Roman" w:hAnsi="Times New Roman"/>
          <w:i/>
          <w:sz w:val="26"/>
          <w:szCs w:val="26"/>
          <w:lang w:eastAsia="ru-RU"/>
        </w:rPr>
        <w:t xml:space="preserve"> (3);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хозяйственной деятельности (2):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уборка снега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транспортное обслуживание населения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социальная сфера (1):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проезд льготных категорий граждан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i/>
          <w:i/>
          <w:color w:val="000000"/>
          <w:sz w:val="26"/>
          <w:szCs w:val="26"/>
          <w:lang w:eastAsia="ru-RU"/>
        </w:rPr>
      </w:pPr>
      <w:r>
        <w:rPr>
          <w:i/>
          <w:color w:val="000000"/>
          <w:sz w:val="26"/>
          <w:szCs w:val="26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всем вопросам, содержащимся в устных сообщениях и запросах, предоставлена запрашиваемая информация, даны консультации и разъяснения.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360"/>
        <w:jc w:val="center"/>
        <w:rPr>
          <w:color w:val="000000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  <w:t>4. Прием граждан специалистами отдела общественной приемной Главы города.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6598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октябре 2025 года специалистами отдела общественной приемной Главы города Бердска принято 3 человека (в сентябре 2025 года – 3, в октябре 2024 года – 2). В обращениях на приемах жителями были подняты вопросы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запись на личный прием к Главе города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прокладка газопровод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а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По всем вопросам, содержащимся в личных обращениях, даны консультации и разъяснения.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5. Сообщения граждан через платформу обратной связи.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ind w:left="284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C9211E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В октябре 2025 года через цифровую платформу обратной связи – подсистему Единого портала «Госуслуги» (ПОС) в администрацию города Бердска гражданами было направлено 217 сообщений (в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сентябре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2025 года – 396, в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октябре</w:t>
      </w: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 xml:space="preserve"> 2024 года – 211) по вопросам в следующих тематических разделах: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сфера хозяйственной деятельности (126): 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благоустройство и ремонт дорог и тротуаров (50);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уборка снега, мусора и посторонних предметов (21);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уличное освещение (11);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комплексное благоустройство (11);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содержание транспортной инфраструктуры (10);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парковка автотранспорта (8);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транспортное обслуживание населения (8);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отлов собак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дорожные знаки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реклама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содержание газового оборудования (1);</w:t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i/>
          <w:color w:val="000000"/>
          <w:sz w:val="26"/>
          <w:szCs w:val="26"/>
          <w:lang w:eastAsia="ru-RU"/>
        </w:rPr>
        <w:t>- водоотведение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жилищно-коммунальная сфера (64):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содержание общего имущества (10);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коммунально-бытовое хозяйство и предоставление услуг в условиях рынка (9);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теплоснабжении (9);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водоснабжении (8);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коммунальных услуг ненадлежащего качества (8);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/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р</w:t>
      </w:r>
      <w:r>
        <w:rPr>
          <w:rFonts w:ascii="Times New Roman" w:hAnsi="Times New Roman"/>
          <w:b w:val="false"/>
          <w:i/>
          <w:color w:val="000000"/>
          <w:sz w:val="26"/>
          <w:szCs w:val="26"/>
          <w:lang w:eastAsia="ru-RU"/>
        </w:rPr>
        <w:t>емонт и эксплуатация ливневой канализации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(5);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обращение с твердыми коммунальными отходами (4);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свалка мусора (3);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у</w:t>
      </w: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  <w:t>странение аварийных ситуаций на магистральных коммуникациях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(3);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управляющих организаций (2);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</w:t>
      </w:r>
      <w:r>
        <w:rPr>
          <w:rFonts w:ascii="Times New Roman" w:hAnsi="Times New Roman"/>
          <w:b w:val="false"/>
          <w:i/>
          <w:color w:val="000000"/>
          <w:sz w:val="26"/>
          <w:szCs w:val="26"/>
          <w:lang w:eastAsia="ru-RU"/>
        </w:rPr>
        <w:t>риборы учета коммунальных ресурсов</w:t>
      </w: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 xml:space="preserve">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перепланировка жилого помещения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перебои в электроснабжении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i w:val="false"/>
          <w:i w:val="false"/>
          <w:iCs w:val="false"/>
          <w:color w:val="000000"/>
        </w:rPr>
      </w:pPr>
      <w:r>
        <w:rPr>
          <w:rFonts w:eastAsia="Times New Roman" w:ascii="Times New Roman" w:hAnsi="Times New Roman"/>
          <w:i w:val="false"/>
          <w:iCs w:val="false"/>
          <w:color w:val="000000"/>
          <w:sz w:val="28"/>
          <w:szCs w:val="28"/>
          <w:lang w:eastAsia="ru-RU"/>
        </w:rPr>
        <w:t>социальная сфера (20):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образование (18);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социальное обеспечение(1);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культура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природных ресурсов (4):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лесное хозяйство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земельные вопросы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Verdana" w:hAnsi="Verdana"/>
          <w:b w:val="false"/>
          <w:i w:val="false"/>
          <w:i w:val="false"/>
          <w:caps w:val="false"/>
          <w:smallCaps w:val="false"/>
          <w:color w:val="000000"/>
          <w:spacing w:val="0"/>
          <w:sz w:val="20"/>
        </w:rPr>
      </w:pPr>
      <w:r>
        <w:rPr>
          <w:rFonts w:ascii="Times New Roman" w:hAnsi="Times New Roman"/>
          <w:b w:val="false"/>
          <w:i/>
          <w:caps w:val="false"/>
          <w:smallCaps w:val="false"/>
          <w:color w:val="000000"/>
          <w:spacing w:val="0"/>
          <w:sz w:val="26"/>
          <w:szCs w:val="26"/>
          <w:lang w:eastAsia="ru-RU"/>
        </w:rPr>
        <w:t>- использование и охрана вод (1);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охрана окружающей среды (1).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сфера государства, общества, политики (3):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деятельность органов местного самоуправления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предоставление информации (1);</w:t>
      </w:r>
    </w:p>
    <w:p>
      <w:pPr>
        <w:pStyle w:val="Normal"/>
        <w:widowControl w:val="false"/>
        <w:shd w:val="clear" w:fill="FFFFFF"/>
        <w:spacing w:lineRule="auto" w:line="240" w:before="0" w:after="0"/>
        <w:jc w:val="both"/>
        <w:rPr>
          <w:color w:val="000000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  <w:t>- присвоение адреса (1).</w:t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both"/>
        <w:rPr>
          <w:rFonts w:ascii="Times New Roman" w:hAnsi="Times New Roman"/>
          <w:i/>
          <w:i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i/>
          <w:color w:val="000000"/>
          <w:sz w:val="26"/>
          <w:szCs w:val="26"/>
          <w:lang w:eastAsia="ru-RU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На все сообщения были предоставлены разъяснения, в случае необходимости приняты меры, в том числе с указанием сроков выполнения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color w:val="000000"/>
          <w:sz w:val="28"/>
          <w:szCs w:val="28"/>
          <w:lang w:eastAsia="ru-RU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</w:r>
    </w:p>
    <w:p>
      <w:pPr>
        <w:pStyle w:val="Normal"/>
        <w:widowControl w:val="false"/>
        <w:shd w:val="clear" w:color="auto" w:fill="FFFFFF"/>
        <w:spacing w:lineRule="auto" w:line="240" w:before="0" w:after="0"/>
        <w:jc w:val="center"/>
        <w:rPr>
          <w:color w:val="000000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6. Мобильная группа Главы города Бердска.</w:t>
      </w:r>
    </w:p>
    <w:p>
      <w:pPr>
        <w:pStyle w:val="Normal"/>
        <w:spacing w:lineRule="auto" w:line="240" w:before="0" w:after="0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color w:val="000000"/>
        </w:rPr>
      </w:pPr>
      <w:r>
        <w:rPr>
          <w:rFonts w:eastAsia="Times New Roman" w:ascii="Times New Roman" w:hAnsi="Times New Roman"/>
          <w:color w:val="000000"/>
          <w:sz w:val="28"/>
          <w:szCs w:val="28"/>
          <w:lang w:eastAsia="ru-RU"/>
        </w:rPr>
        <w:t>В октябре 2025 года мобильной группой было осуществлено 3 выезда, в ходе которых отработано 7 вопросов. По всем вопросам приняты меры и проверено качество выполненных работ.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</w:r>
    </w:p>
    <w:sectPr>
      <w:headerReference w:type="even" r:id="rId5"/>
      <w:headerReference w:type="default" r:id="rId6"/>
      <w:headerReference w:type="first" r:id="rId7"/>
      <w:type w:val="nextPage"/>
      <w:pgSz w:w="11906" w:h="16838"/>
      <w:pgMar w:left="1418" w:right="707" w:gutter="0" w:header="708" w:top="765" w:footer="0" w:bottom="709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Symbol">
    <w:charset w:val="02"/>
    <w:family w:val="auto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644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locked="1" w:uiPriority="0" w:semiHidden="0" w:unhideWhenUsed="0" w:qFormat="1"/>
    <w:lsdException w:name="heading 1" w:locked="1" w:uiPriority="0" w:semiHidden="0" w:unhideWhenUsed="0" w:qFormat="1"/>
    <w:lsdException w:name="heading 2" w:locked="1" w:uiPriority="0" w:semiHidden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uiPriority="0" w:semiHidden="0" w:unhideWhenUsed="0"/>
    <w:lsdException w:name="toc 2" w:locked="1" w:uiPriority="0" w:semiHidden="0" w:unhideWhenUsed="0"/>
    <w:lsdException w:name="toc 3" w:locked="1" w:uiPriority="0" w:semiHidden="0" w:unhideWhenUsed="0"/>
    <w:lsdException w:name="toc 4" w:locked="1" w:uiPriority="0" w:semiHidden="0" w:unhideWhenUsed="0"/>
    <w:lsdException w:name="toc 5" w:locked="1" w:uiPriority="0" w:semiHidden="0" w:unhideWhenUsed="0"/>
    <w:lsdException w:name="toc 6" w:locked="1" w:uiPriority="0" w:semiHidden="0" w:unhideWhenUsed="0"/>
    <w:lsdException w:name="toc 7" w:locked="1" w:uiPriority="0" w:semiHidden="0" w:unhideWhenUsed="0"/>
    <w:lsdException w:name="toc 8" w:locked="1" w:uiPriority="0" w:semiHidden="0" w:unhideWhenUsed="0"/>
    <w:lsdException w:name="toc 9" w:locked="1" w:uiPriority="0" w:semiHidden="0" w:unhideWhenUsed="0"/>
    <w:lsdException w:name="header" w:locked="1" w:uiPriority="0" w:semiHidden="0" w:unhideWhenUsed="0"/>
    <w:lsdException w:name="caption" w:locked="1" w:uiPriority="0" w:qFormat="1"/>
    <w:lsdException w:name="page number" w:locked="1" w:uiPriority="0" w:semiHidden="0" w:unhideWhenUsed="0"/>
    <w:lsdException w:name="Title" w:locked="1" w:uiPriority="0" w:semiHidden="0" w:unhideWhenUsed="0" w:qFormat="1"/>
    <w:lsdException w:name="Default Paragraph Font" w:locked="1" w:uiPriority="0" w:semiHidden="0" w:unhideWhenUsed="0"/>
    <w:lsdException w:name="Body Text" w:locked="1" w:uiPriority="0" w:semiHidden="0" w:unhideWhenUsed="0"/>
    <w:lsdException w:name="Body Text Indent" w:locked="1" w:uiPriority="0" w:semiHidden="0" w:unhideWhenUsed="0"/>
    <w:lsdException w:name="Subtitle" w:locked="1" w:uiPriority="0" w:semiHidden="0" w:unhideWhenUsed="0" w:qFormat="1"/>
    <w:lsdException w:name="Strong" w:locked="1" w:uiPriority="0" w:semiHidden="0" w:unhideWhenUsed="0" w:qFormat="1"/>
    <w:lsdException w:name="Emphasis" w:locked="1" w:uiPriority="0" w:semiHidden="0" w:unhideWhenUsed="0" w:qFormat="1"/>
    <w:lsdException w:name="Table Grid" w:locked="1" w:uiPriority="0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6383e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d00056"/>
    <w:pPr>
      <w:keepNext w:val="true"/>
      <w:spacing w:lineRule="auto" w:line="240" w:before="0" w:after="0"/>
      <w:outlineLvl w:val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2"/>
    <w:uiPriority w:val="99"/>
    <w:qFormat/>
    <w:rsid w:val="00d00056"/>
    <w:pPr>
      <w:keepNext w:val="true"/>
      <w:spacing w:lineRule="auto" w:line="240" w:before="240" w:after="60"/>
      <w:outlineLvl w:val="1"/>
    </w:pPr>
    <w:rPr>
      <w:rFonts w:ascii="Arial" w:hAnsi="Arial" w:eastAsia="Times New Roman" w:cs="Arial"/>
      <w:b/>
      <w:bCs/>
      <w:i/>
      <w:iCs/>
      <w:sz w:val="28"/>
      <w:szCs w:val="2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2" w:customStyle="1">
    <w:name w:val="Заголовок 2 Знак"/>
    <w:uiPriority w:val="99"/>
    <w:qFormat/>
    <w:locked/>
    <w:rsid w:val="00d00056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styleId="Style12" w:customStyle="1">
    <w:name w:val="Основной текст Знак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Style13" w:customStyle="1">
    <w:name w:val="Основной текст с отступом Знак"/>
    <w:link w:val="BodyTextIndented"/>
    <w:uiPriority w:val="99"/>
    <w:qFormat/>
    <w:locked/>
    <w:rsid w:val="00d00056"/>
    <w:rPr>
      <w:rFonts w:ascii="Times New Roman" w:hAnsi="Times New Roman" w:cs="Times New Roman"/>
      <w:sz w:val="20"/>
      <w:szCs w:val="20"/>
      <w:lang w:eastAsia="ru-RU"/>
    </w:rPr>
  </w:style>
  <w:style w:type="character" w:styleId="Style14" w:customStyle="1">
    <w:name w:val="Верхний колонтитул Знак"/>
    <w:uiPriority w:val="99"/>
    <w:qFormat/>
    <w:locked/>
    <w:rsid w:val="00d00056"/>
    <w:rPr>
      <w:rFonts w:ascii="Times New Roman" w:hAnsi="Times New Roman" w:cs="Times New Roman"/>
      <w:sz w:val="24"/>
      <w:szCs w:val="24"/>
      <w:lang w:eastAsia="ru-RU"/>
    </w:rPr>
  </w:style>
  <w:style w:type="character" w:styleId="PageNumber">
    <w:name w:val="Page Number"/>
    <w:uiPriority w:val="99"/>
    <w:rsid w:val="00d00056"/>
    <w:rPr>
      <w:rFonts w:cs="Times New Roman"/>
    </w:rPr>
  </w:style>
  <w:style w:type="character" w:styleId="Style15" w:customStyle="1">
    <w:name w:val="Текст выноски Знак"/>
    <w:link w:val="BalloonText"/>
    <w:uiPriority w:val="99"/>
    <w:semiHidden/>
    <w:qFormat/>
    <w:locked/>
    <w:rsid w:val="008d2ae1"/>
    <w:rPr>
      <w:rFonts w:ascii="Tahoma" w:hAnsi="Tahoma" w:cs="Tahoma"/>
      <w:sz w:val="16"/>
      <w:szCs w:val="16"/>
    </w:rPr>
  </w:style>
  <w:style w:type="character" w:styleId="Style16" w:customStyle="1">
    <w:name w:val="Нижний колонтитул Знак"/>
    <w:uiPriority w:val="99"/>
    <w:qFormat/>
    <w:rsid w:val="0002334e"/>
    <w:rPr>
      <w:sz w:val="22"/>
      <w:szCs w:val="22"/>
      <w:lang w:eastAsia="en-US"/>
    </w:rPr>
  </w:style>
  <w:style w:type="character" w:styleId="gwt-inlinelabel" w:customStyle="1">
    <w:name w:val="gwt-inlinelabel"/>
    <w:qFormat/>
    <w:rsid w:val="0055281b"/>
    <w:rPr/>
  </w:style>
  <w:style w:type="character" w:styleId="InternetLink">
    <w:name w:val="Internet Link"/>
    <w:uiPriority w:val="99"/>
    <w:unhideWhenUsed/>
    <w:qFormat/>
    <w:rsid w:val="00651975"/>
    <w:rPr>
      <w:color w:val="0000FF"/>
      <w:u w:val="single"/>
    </w:rPr>
  </w:style>
  <w:style w:type="character" w:styleId="Style17">
    <w:name w:val="Символ нумерации"/>
    <w:qFormat/>
    <w:rPr/>
  </w:style>
  <w:style w:type="paragraph" w:styleId="Style18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Tahoma" w:cs="Droid Sans"/>
      <w:sz w:val="28"/>
      <w:szCs w:val="28"/>
    </w:rPr>
  </w:style>
  <w:style w:type="paragraph" w:styleId="BodyText">
    <w:name w:val="Body Text"/>
    <w:basedOn w:val="Normal"/>
    <w:link w:val="Style12"/>
    <w:uiPriority w:val="99"/>
    <w:rsid w:val="00d00056"/>
    <w:pPr>
      <w:spacing w:lineRule="auto" w:line="240" w:before="0" w:after="0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List">
    <w:name w:val="List"/>
    <w:basedOn w:val="BodyText"/>
    <w:pPr/>
    <w:rPr>
      <w:rFonts w:cs="Droid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Droid Sans"/>
    </w:rPr>
  </w:style>
  <w:style w:type="paragraph" w:styleId="BodyTextIndented">
    <w:name w:val="Body Text, Indented"/>
    <w:basedOn w:val="Normal"/>
    <w:link w:val="Style13"/>
    <w:uiPriority w:val="99"/>
    <w:qFormat/>
    <w:rsid w:val="00d00056"/>
    <w:pPr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21" w:customStyle="1">
    <w:name w:val="Основной текст 21"/>
    <w:basedOn w:val="Normal"/>
    <w:uiPriority w:val="99"/>
    <w:qFormat/>
    <w:rsid w:val="00d00056"/>
    <w:pPr>
      <w:overflowPunct w:val="true"/>
      <w:spacing w:lineRule="auto" w:line="240" w:before="0" w:after="0"/>
      <w:ind w:firstLine="709"/>
      <w:jc w:val="both"/>
      <w:textAlignment w:val="baseline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0">
    <w:name w:val="Колонтитул"/>
    <w:basedOn w:val="Normal"/>
    <w:qFormat/>
    <w:pPr/>
    <w:rPr/>
  </w:style>
  <w:style w:type="paragraph" w:styleId="Header">
    <w:name w:val="Header"/>
    <w:basedOn w:val="Normal"/>
    <w:link w:val="Style14"/>
    <w:uiPriority w:val="99"/>
    <w:rsid w:val="00d00056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 w:eastAsia="Times New Roman"/>
      <w:sz w:val="24"/>
      <w:szCs w:val="24"/>
      <w:lang w:eastAsia="ru-RU"/>
    </w:rPr>
  </w:style>
  <w:style w:type="paragraph" w:styleId="31" w:customStyle="1">
    <w:name w:val="Основной текст с отступом 31"/>
    <w:basedOn w:val="Normal"/>
    <w:uiPriority w:val="99"/>
    <w:qFormat/>
    <w:rsid w:val="00d00056"/>
    <w:pPr>
      <w:overflowPunct w:val="true"/>
      <w:spacing w:lineRule="auto" w:line="240" w:before="0" w:after="0"/>
      <w:ind w:firstLine="709"/>
      <w:jc w:val="both"/>
    </w:pPr>
    <w:rPr>
      <w:rFonts w:ascii="Times New Roman" w:hAnsi="Times New Roman" w:eastAsia="Times New Roman"/>
      <w:sz w:val="28"/>
      <w:szCs w:val="20"/>
      <w:lang w:eastAsia="ru-RU"/>
    </w:rPr>
  </w:style>
  <w:style w:type="paragraph" w:styleId="Style21" w:customStyle="1">
    <w:name w:val="Знак"/>
    <w:basedOn w:val="Normal"/>
    <w:uiPriority w:val="99"/>
    <w:qFormat/>
    <w:rsid w:val="00d00056"/>
    <w:pPr>
      <w:widowControl w:val="false"/>
      <w:spacing w:lineRule="atLeast" w:line="360" w:beforeAutospacing="1" w:afterAutospacing="1"/>
      <w:jc w:val="both"/>
      <w:textAlignment w:val="baseline"/>
    </w:pPr>
    <w:rPr>
      <w:rFonts w:ascii="Tahoma" w:hAnsi="Tahoma" w:eastAsia="Times New Roman" w:cs="Tahoma"/>
      <w:sz w:val="20"/>
      <w:szCs w:val="20"/>
      <w:lang w:val="en-US"/>
    </w:rPr>
  </w:style>
  <w:style w:type="paragraph" w:styleId="11" w:customStyle="1">
    <w:name w:val="Абзац списка1"/>
    <w:basedOn w:val="Normal"/>
    <w:uiPriority w:val="99"/>
    <w:qFormat/>
    <w:rsid w:val="00d00056"/>
    <w:pPr>
      <w:spacing w:before="0" w:after="200"/>
      <w:ind w:left="720"/>
      <w:contextualSpacing/>
    </w:pPr>
    <w:rPr>
      <w:rFonts w:eastAsia="Times New Roman"/>
    </w:rPr>
  </w:style>
  <w:style w:type="paragraph" w:styleId="BalloonText">
    <w:name w:val="Balloon Text"/>
    <w:basedOn w:val="Normal"/>
    <w:link w:val="Style15"/>
    <w:uiPriority w:val="99"/>
    <w:semiHidden/>
    <w:qFormat/>
    <w:rsid w:val="008d2ae1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Style22" w:customStyle="1">
    <w:name w:val="Знак Знак Знак"/>
    <w:basedOn w:val="Normal"/>
    <w:uiPriority w:val="99"/>
    <w:qFormat/>
    <w:rsid w:val="006022e3"/>
    <w:pPr>
      <w:spacing w:lineRule="exact" w:line="240" w:before="0" w:after="160"/>
    </w:pPr>
    <w:rPr>
      <w:rFonts w:ascii="Verdana" w:hAnsi="Verdana" w:eastAsia="Times New Roman" w:cs="Verdana"/>
      <w:sz w:val="20"/>
      <w:szCs w:val="20"/>
      <w:lang w:val="en-US"/>
    </w:rPr>
  </w:style>
  <w:style w:type="paragraph" w:styleId="Footer">
    <w:name w:val="Footer"/>
    <w:basedOn w:val="Normal"/>
    <w:link w:val="Style16"/>
    <w:uiPriority w:val="99"/>
    <w:unhideWhenUsed/>
    <w:rsid w:val="0002334e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6f58f5"/>
    <w:pPr>
      <w:spacing w:before="0" w:after="200"/>
      <w:ind w:left="720"/>
      <w:contextualSpacing/>
    </w:pPr>
    <w:rPr/>
  </w:style>
  <w:style w:type="paragraph" w:styleId="Style23">
    <w:name w:val="Содержимое врезки"/>
    <w:basedOn w:val="Normal"/>
    <w:qFormat/>
    <w:pPr/>
    <w:rPr/>
  </w:style>
  <w:style w:type="paragraph" w:styleId="Style24">
    <w:name w:val="Содержимое таблицы"/>
    <w:basedOn w:val="Normal"/>
    <w:qFormat/>
    <w:pPr>
      <w:widowControl w:val="false"/>
      <w:suppressLineNumbers/>
    </w:pPr>
    <w:rPr/>
  </w:style>
  <w:style w:type="paragraph" w:styleId="Style25">
    <w:name w:val="Заголовок таблицы"/>
    <w:basedOn w:val="Style24"/>
    <w:qFormat/>
    <w:pPr>
      <w:suppressLineNumbers/>
      <w:jc w:val="center"/>
    </w:pPr>
    <w:rPr>
      <w:b/>
      <w:bCs/>
    </w:rPr>
  </w:style>
  <w:style w:type="numbering" w:styleId="Style2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chart" Target="charts/chart1.xml"/><Relationship Id="rId3" Type="http://schemas.openxmlformats.org/officeDocument/2006/relationships/chart" Target="charts/chart2.xml"/><Relationship Id="rId4" Type="http://schemas.openxmlformats.org/officeDocument/2006/relationships/chart" Target="charts/chart3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charts/_rels/chart1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1.xlsx"/><Relationship Id="rId2" Type="http://schemas.openxmlformats.org/officeDocument/2006/relationships/chartUserShapes" Target="../drawings/drawing3.xml"/>
</Relationships>
</file>

<file path=word/charts/_rels/chart2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2.xlsx"/>
</Relationships>
</file>

<file path=word/charts/_rels/chart3.xml.rels><?xml version="1.0" encoding="UTF-8"?>
<Relationships xmlns="http://schemas.openxmlformats.org/package/2006/relationships"><Relationship Id="rId1" Type="http://schemas.openxmlformats.org/officeDocument/2006/relationships/package" Target="../embeddings/Microsoft_Excel_Worksheet3.xlsx"/>
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Структура и количество обращений, поступивших 
в администрацию города Бердска в октябре 2025 года
в сравнении с сентябрем 2025 года и октябрем 2024 года.</a:t>
            </a:r>
          </a:p>
        </c:rich>
      </c:tx>
      <c:layout>
        <c:manualLayout>
          <c:xMode val="edge"/>
          <c:yMode val="edge"/>
          <c:x val="0.217991460490144"/>
          <c:y val="0.034841628959276"/>
        </c:manualLayout>
      </c:layout>
      <c:overlay val="0"/>
      <c:spPr>
        <a:noFill/>
        <a:ln w="0">
          <a:noFill/>
        </a:ln>
      </c:spPr>
    </c:title>
    <c:autoTitleDeleted val="0"/>
    <c:view3D>
      <c:rotX val="1"/>
      <c:rotY val="32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58375"/>
          <c:y val="0.322444444444444"/>
          <c:w val="0.9296875"/>
          <c:h val="0.459333333333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05787706769212"/>
                  <c:y val="-0.0031239326525231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26462796801563"/>
                  <c:y val="0.0002319797361574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13104234063765"/>
                  <c:y val="0.0026494286467466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0343400943296834"/>
                  <c:y val="0.017489253922941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86046511627907"/>
                  <c:y val="0"/>
                </c:manualLayout>
              </c:layout>
              <c:txPr>
                <a:bodyPr wrap="square"/>
                <a:lstStyle/>
                <a:p>
                  <a:pPr>
                    <a:defRPr b="0" lang="ru-RU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  <c:pt idx="5">
                  <c:v>ПОС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6"/>
                <c:pt idx="0">
                  <c:v>429</c:v>
                </c:pt>
                <c:pt idx="1">
                  <c:v>188</c:v>
                </c:pt>
                <c:pt idx="2">
                  <c:v>7</c:v>
                </c:pt>
                <c:pt idx="3">
                  <c:v>14</c:v>
                </c:pt>
                <c:pt idx="4">
                  <c:v>3</c:v>
                </c:pt>
                <c:pt idx="5">
                  <c:v>217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Сентябрь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262829266326256"/>
                  <c:y val="0.036915427164683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9694874065914"/>
                  <c:y val="0.0254482348184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3776068689088"/>
                  <c:y val="0.0056917557794358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0815039980467569"/>
                  <c:y val="0.014658125495664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65374677002584"/>
                  <c:y val="0"/>
                </c:manualLayout>
              </c:layout>
              <c:txPr>
                <a:bodyPr wrap="square"/>
                <a:lstStyle/>
                <a:p>
                  <a:pPr>
                    <a:defRPr b="0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0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0731165184838567"/>
                  <c:y val="0.023382108915371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  <c:pt idx="5">
                  <c:v>ПОС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6"/>
                <c:pt idx="0">
                  <c:v>584</c:v>
                </c:pt>
                <c:pt idx="1">
                  <c:v>168</c:v>
                </c:pt>
                <c:pt idx="2">
                  <c:v>10</c:v>
                </c:pt>
                <c:pt idx="3">
                  <c:v>7</c:v>
                </c:pt>
                <c:pt idx="4">
                  <c:v>3</c:v>
                </c:pt>
                <c:pt idx="5">
                  <c:v>396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Октябрь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5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299993742253091"/>
                  <c:y val="0.036562362307322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30486545886991"/>
                  <c:y val="0.019651197543118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59316364524202"/>
                  <c:y val="0.006205228713223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1084457466073"/>
                  <c:y val="0.016277084808471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0210829497266696"/>
                  <c:y val="0.015975275262424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5"/>
              <c:layout>
                <c:manualLayout>
                  <c:x val="0.0215839962564343"/>
                  <c:y val="0.025795745964700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6"/>
                <c:pt idx="0">
                  <c:v>Всего обращений</c:v>
                </c:pt>
                <c:pt idx="1">
                  <c:v>Письменные обращения</c:v>
                </c:pt>
                <c:pt idx="2">
                  <c:v>Личный прием</c:v>
                </c:pt>
                <c:pt idx="3">
                  <c:v>Справочный телефон</c:v>
                </c:pt>
                <c:pt idx="4">
                  <c:v>Приём специалиста</c:v>
                </c:pt>
                <c:pt idx="5">
                  <c:v>ПОС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6"/>
                <c:pt idx="0">
                  <c:v>502</c:v>
                </c:pt>
                <c:pt idx="1">
                  <c:v>259</c:v>
                </c:pt>
                <c:pt idx="2">
                  <c:v>13</c:v>
                </c:pt>
                <c:pt idx="3">
                  <c:v>17</c:v>
                </c:pt>
                <c:pt idx="4">
                  <c:v>2</c:v>
                </c:pt>
                <c:pt idx="5">
                  <c:v>211</c:v>
                </c:pt>
              </c:numCache>
            </c:numRef>
          </c:val>
        </c:ser>
        <c:gapWidth val="150"/>
        <c:shape val="box"/>
        <c:axId val="99907573"/>
        <c:axId val="16480071"/>
        <c:axId val="0"/>
      </c:bar3DChart>
      <c:catAx>
        <c:axId val="99907573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7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16480071"/>
        <c:crosses val="autoZero"/>
        <c:auto val="1"/>
        <c:lblAlgn val="ctr"/>
        <c:lblOffset val="100"/>
        <c:noMultiLvlLbl val="0"/>
      </c:catAx>
      <c:valAx>
        <c:axId val="16480071"/>
        <c:scaling>
          <c:orientation val="minMax"/>
          <c:max val="60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99907573"/>
        <c:crosses val="autoZero"/>
        <c:crossBetween val="between"/>
        <c:majorUnit val="100"/>
      </c:valAx>
    </c:plotArea>
    <c:legend>
      <c:legendPos val="r"/>
      <c:layout>
        <c:manualLayout>
          <c:xMode val="edge"/>
          <c:yMode val="edge"/>
          <c:x val="0.8481875"/>
          <c:y val="0.117555555555556"/>
          <c:w val="0.139883742733921"/>
          <c:h val="0.238026447383043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8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  <c:userShapes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Виды письменных обращений, поступивших в 
администрацию города Бердска в октябре 2025 года
в сравнении с сентябрем 2025 года и октябрем 2024 года</a:t>
            </a:r>
          </a:p>
        </c:rich>
      </c:tx>
      <c:layout>
        <c:manualLayout>
          <c:xMode val="edge"/>
          <c:yMode val="edge"/>
          <c:x val="0.248330795361368"/>
          <c:y val="0.0350669151279011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794375"/>
          <c:y val="0.378555555555556"/>
          <c:w val="0.9044375"/>
          <c:h val="0.48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20671834625323"/>
                  <c:y val="-0.00067323423137130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17972695273556"/>
                  <c:y val="0.01669621140289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54447903314411"/>
                  <c:y val="0.0031072817468497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33774440985574"/>
                  <c:y val="0.008132360418298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Заявление</c:v>
                </c:pt>
                <c:pt idx="1">
                  <c:v>Жалоба</c:v>
                </c:pt>
                <c:pt idx="2">
                  <c:v>Запрос</c:v>
                </c:pt>
                <c:pt idx="3">
                  <c:v>Не обращения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4"/>
                <c:pt idx="0">
                  <c:v>166</c:v>
                </c:pt>
                <c:pt idx="1">
                  <c:v>5</c:v>
                </c:pt>
                <c:pt idx="2">
                  <c:v>15</c:v>
                </c:pt>
                <c:pt idx="3">
                  <c:v>2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Сентябрь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10665934200085"/>
                  <c:y val="0.0070709485921589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138647785305907"/>
                  <c:y val="0.0049079990655618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3776068689089"/>
                  <c:y val="-0.0020387242170644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15540906223931"/>
                  <c:y val="0.0032600898709650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Заявление</c:v>
                </c:pt>
                <c:pt idx="1">
                  <c:v>Жалоба</c:v>
                </c:pt>
                <c:pt idx="2">
                  <c:v>Запрос</c:v>
                </c:pt>
                <c:pt idx="3">
                  <c:v>Не обращения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4"/>
                <c:pt idx="0">
                  <c:v>159</c:v>
                </c:pt>
                <c:pt idx="1">
                  <c:v>1</c:v>
                </c:pt>
                <c:pt idx="2">
                  <c:v>8</c:v>
                </c:pt>
                <c:pt idx="3">
                  <c:v>0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Октябрь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82424871309691"/>
                  <c:y val="-0.00093168982149482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899957272782763"/>
                  <c:y val="0.011123661898283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38647785305907"/>
                  <c:y val="-0.0056159733959956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0717605648131193"/>
                  <c:y val="0.00533234392821316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4"/>
                <c:pt idx="0">
                  <c:v>Заявление</c:v>
                </c:pt>
                <c:pt idx="1">
                  <c:v>Жалоба</c:v>
                </c:pt>
                <c:pt idx="2">
                  <c:v>Запрос</c:v>
                </c:pt>
                <c:pt idx="3">
                  <c:v>Не обращения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4"/>
                <c:pt idx="0">
                  <c:v>244</c:v>
                </c:pt>
                <c:pt idx="1">
                  <c:v>3</c:v>
                </c:pt>
                <c:pt idx="2">
                  <c:v>10</c:v>
                </c:pt>
                <c:pt idx="3">
                  <c:v>2</c:v>
                </c:pt>
              </c:numCache>
            </c:numRef>
          </c:val>
        </c:ser>
        <c:gapWidth val="150"/>
        <c:shape val="box"/>
        <c:axId val="86873202"/>
        <c:axId val="78121433"/>
        <c:axId val="0"/>
      </c:bar3DChart>
      <c:catAx>
        <c:axId val="8687320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78121433"/>
        <c:crosses val="autoZero"/>
        <c:auto val="1"/>
        <c:lblAlgn val="ctr"/>
        <c:lblOffset val="100"/>
        <c:noMultiLvlLbl val="0"/>
      </c:catAx>
      <c:valAx>
        <c:axId val="78121433"/>
        <c:scaling>
          <c:orientation val="minMax"/>
          <c:max val="25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86873202"/>
        <c:crosses val="autoZero"/>
        <c:crossBetween val="between"/>
        <c:majorUnit val="50"/>
        <c:minorUnit val="2.5"/>
      </c:valAx>
    </c:plotArea>
    <c:legend>
      <c:legendPos val="r"/>
      <c:layout>
        <c:manualLayout>
          <c:xMode val="edge"/>
          <c:yMode val="edge"/>
          <c:x val="0.686625"/>
          <c:y val="0.385888888888889"/>
          <c:w val="0.182511406962935"/>
          <c:h val="0.274919435492833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en-US"/>
  <c:roundedCorners val="0"/>
  <c:chart>
    <c:title>
      <c:tx>
        <c:rich>
          <a:bodyPr rot="0"/>
          <a:lstStyle/>
          <a:p>
            <a:pPr>
              <a:defRPr b="1" lang="ru-RU" sz="1200" spc="-1" strike="noStrike">
                <a:solidFill>
                  <a:srgbClr val="000000"/>
                </a:solidFill>
                <a:latin typeface="Calibri"/>
              </a:defRPr>
            </a:pPr>
            <a:r>
              <a:rPr b="1" lang="ru-RU" sz="1200" spc="-1" strike="noStrike">
                <a:solidFill>
                  <a:srgbClr val="000000"/>
                </a:solidFill>
                <a:latin typeface="Calibri"/>
              </a:rPr>
              <a:t>Тематика вопросов в письменных обращениях, поступивших в 
администрацию города Бердска в октябре 2025 года
в сравнении с сентябрем 2025 года и октябрем 2024 года </a:t>
            </a:r>
          </a:p>
        </c:rich>
      </c:tx>
      <c:layout>
        <c:manualLayout>
          <c:xMode val="edge"/>
          <c:yMode val="edge"/>
          <c:x val="0.144721373148366"/>
          <c:y val="0.0038863976083707"/>
        </c:manualLayout>
      </c:layout>
      <c:overlay val="0"/>
      <c:spPr>
        <a:noFill/>
        <a:ln w="0">
          <a:noFill/>
        </a:ln>
      </c:spPr>
    </c:title>
    <c:autoTitleDeleted val="0"/>
    <c:view3D>
      <c:rotX val="15"/>
      <c:rotY val="20"/>
      <c:rAngAx val="1"/>
      <c:perspective val="30"/>
    </c:view3D>
    <c:floor>
      <c:spPr>
        <a:noFill/>
        <a:ln w="9360">
          <a:solidFill>
            <a:srgbClr val="878787"/>
          </a:solidFill>
          <a:round/>
        </a:ln>
      </c:spPr>
    </c:floor>
    <c:sideWall>
      <c:spPr>
        <a:noFill/>
        <a:ln w="9360">
          <a:solidFill>
            <a:srgbClr val="878787"/>
          </a:solidFill>
          <a:round/>
        </a:ln>
      </c:spPr>
    </c:sideWall>
    <c:backWall>
      <c:spPr>
        <a:noFill/>
        <a:ln w="9360">
          <a:solidFill>
            <a:srgbClr val="878787"/>
          </a:solidFill>
          <a:round/>
        </a:ln>
      </c:spPr>
    </c:backWall>
    <c:plotArea>
      <c:layout>
        <c:manualLayout>
          <c:layoutTarget val="inner"/>
          <c:xMode val="edge"/>
          <c:yMode val="edge"/>
          <c:x val="0.06825"/>
          <c:y val="0.341"/>
          <c:w val="0.900375"/>
          <c:h val="0.486333333333333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label 0</c:f>
              <c:strCache>
                <c:ptCount val="1"/>
                <c:pt idx="0">
                  <c:v>Октябрь 2025 г.</c:v>
                </c:pt>
              </c:strCache>
            </c:strRef>
          </c:tx>
          <c:spPr>
            <a:solidFill>
              <a:srgbClr val="c0504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c0504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24320613769433"/>
                  <c:y val="0.006046572945505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00282656976"/>
                  <c:y val="-4.79392130722365E-00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-0.00240016654216823"/>
                  <c:y val="-0.00254419739382797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43838481728246"/>
                  <c:y val="0.011068684907537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0924320613769433"/>
                  <c:y val="0.0065911624060691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0</c:f>
              <c:numCache>
                <c:formatCode>General</c:formatCode>
                <c:ptCount val="5"/>
                <c:pt idx="0">
                  <c:v>20</c:v>
                </c:pt>
                <c:pt idx="1">
                  <c:v>24</c:v>
                </c:pt>
                <c:pt idx="2">
                  <c:v>89</c:v>
                </c:pt>
                <c:pt idx="3">
                  <c:v>6</c:v>
                </c:pt>
                <c:pt idx="4">
                  <c:v>67</c:v>
                </c:pt>
              </c:numCache>
            </c:numRef>
          </c:val>
        </c:ser>
        <c:ser>
          <c:idx val="1"/>
          <c:order val="1"/>
          <c:tx>
            <c:strRef>
              <c:f>label 1</c:f>
              <c:strCache>
                <c:ptCount val="1"/>
                <c:pt idx="0">
                  <c:v>Сентябрь 2025 г.</c:v>
                </c:pt>
              </c:strCache>
            </c:strRef>
          </c:tx>
          <c:spPr>
            <a:solidFill>
              <a:srgbClr val="4f81bd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4f81bd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0976200282656972"/>
                  <c:y val="0.0072973070147053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20316638502379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0976232586311327"/>
                  <c:y val="-0.001065209314589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36053301029679"/>
                  <c:y val="0.005758458274907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12944881889764"/>
                  <c:y val="0.00615251860640708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1</c:f>
              <c:numCache>
                <c:formatCode>General</c:formatCode>
                <c:ptCount val="5"/>
                <c:pt idx="0">
                  <c:v>19</c:v>
                </c:pt>
                <c:pt idx="1">
                  <c:v>15</c:v>
                </c:pt>
                <c:pt idx="2">
                  <c:v>103</c:v>
                </c:pt>
                <c:pt idx="3">
                  <c:v>4</c:v>
                </c:pt>
                <c:pt idx="4">
                  <c:v>43</c:v>
                </c:pt>
              </c:numCache>
            </c:numRef>
          </c:val>
        </c:ser>
        <c:ser>
          <c:idx val="2"/>
          <c:order val="2"/>
          <c:tx>
            <c:strRef>
              <c:f>label 2</c:f>
              <c:strCache>
                <c:ptCount val="1"/>
                <c:pt idx="0">
                  <c:v>Октябрь 2024 г.</c:v>
                </c:pt>
              </c:strCache>
            </c:strRef>
          </c:tx>
          <c:spPr>
            <a:solidFill>
              <a:srgbClr val="9bbb59"/>
            </a:solidFill>
            <a:ln w="0">
              <a:noFill/>
            </a:ln>
          </c:spPr>
          <c:invertIfNegative val="0"/>
          <c:dPt>
            <c:idx val="0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1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2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3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Pt>
            <c:idx val="4"/>
            <c:invertIfNegative val="0"/>
            <c:spPr>
              <a:solidFill>
                <a:srgbClr val="9bbb59"/>
              </a:solidFill>
              <a:ln w="0">
                <a:noFill/>
              </a:ln>
            </c:spPr>
          </c:dPt>
          <c:dLbls>
            <c:numFmt formatCode="General" sourceLinked="0"/>
            <c:dLbl>
              <c:idx val="0"/>
              <c:layout>
                <c:manualLayout>
                  <c:x val="0.0138648899656774"/>
                  <c:y val="0.0048226848356284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1"/>
              <c:layout>
                <c:manualLayout>
                  <c:x val="0.00976232586311327"/>
                  <c:y val="0.00031639880631365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2"/>
              <c:layout>
                <c:manualLayout>
                  <c:x val="0.0125919644659802"/>
                  <c:y val="0.00768849099342034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3"/>
              <c:layout>
                <c:manualLayout>
                  <c:x val="0.0115540480516858"/>
                  <c:y val="0.00833469092225541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dLbl>
              <c:idx val="4"/>
              <c:layout>
                <c:manualLayout>
                  <c:x val="0.0159161720169594"/>
                  <c:y val="0.00833133146492282"/>
                </c:manualLayout>
              </c:layout>
              <c:numFmt formatCode="General" sourceLinked="0"/>
              <c:txPr>
                <a:bodyPr wrap="square"/>
                <a:lstStyle/>
                <a:p>
                  <a:pPr>
                    <a:defRPr b="1" sz="1000" spc="-1" strike="noStrike">
                      <a:solidFill>
                        <a:srgbClr val="000000"/>
                      </a:solidFill>
                      <a:latin typeface="Calibri"/>
                    </a:defRPr>
                  </a:pPr>
                </a:p>
              </c:txPr>
              <c:showLegendKey val="0"/>
              <c:showVal val="1"/>
              <c:showCatName val="0"/>
              <c:showSerName val="0"/>
              <c:showPercent val="0"/>
              <c:separator>; </c:separator>
            </c:dLbl>
            <c:txPr>
              <a:bodyPr wrap="square"/>
              <a:lstStyle/>
              <a:p>
                <a:pPr>
                  <a:defRPr b="1" sz="1000" spc="-1" strike="noStrike">
                    <a:solidFill>
                      <a:srgbClr val="000000"/>
                    </a:solidFill>
                    <a:latin typeface="Calibri"/>
                  </a:defRPr>
                </a:pPr>
              </a:p>
            </c:txPr>
            <c:showLegendKey val="0"/>
            <c:showVal val="1"/>
            <c:showCatName val="0"/>
            <c:showSerName val="0"/>
            <c:showPercent val="0"/>
            <c:separator>; </c:separator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categories</c:f>
              <c:strCache>
                <c:ptCount val="5"/>
                <c:pt idx="0">
                  <c:v>Государство, общество, политика</c:v>
                </c:pt>
                <c:pt idx="1">
                  <c:v>Социальная сфера</c:v>
                </c:pt>
                <c:pt idx="2">
                  <c:v>Экономика</c:v>
                </c:pt>
                <c:pt idx="3">
                  <c:v>Оборона, безопасность, законность</c:v>
                </c:pt>
                <c:pt idx="4">
                  <c:v>Жилищно - коммунальная сфера</c:v>
                </c:pt>
              </c:strCache>
            </c:strRef>
          </c:cat>
          <c:val>
            <c:numRef>
              <c:f>2</c:f>
              <c:numCache>
                <c:formatCode>General</c:formatCode>
                <c:ptCount val="5"/>
                <c:pt idx="0">
                  <c:v>33</c:v>
                </c:pt>
                <c:pt idx="1">
                  <c:v>30</c:v>
                </c:pt>
                <c:pt idx="2">
                  <c:v>120</c:v>
                </c:pt>
                <c:pt idx="3">
                  <c:v>13</c:v>
                </c:pt>
                <c:pt idx="4">
                  <c:v>97</c:v>
                </c:pt>
              </c:numCache>
            </c:numRef>
          </c:val>
        </c:ser>
        <c:gapWidth val="150"/>
        <c:shape val="box"/>
        <c:axId val="21562734"/>
        <c:axId val="48166571"/>
        <c:axId val="0"/>
      </c:bar3DChart>
      <c:catAx>
        <c:axId val="2156273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48166571"/>
        <c:crosses val="autoZero"/>
        <c:auto val="1"/>
        <c:lblAlgn val="ctr"/>
        <c:lblOffset val="100"/>
        <c:noMultiLvlLbl val="0"/>
      </c:catAx>
      <c:valAx>
        <c:axId val="48166571"/>
        <c:scaling>
          <c:orientation val="minMax"/>
          <c:max val="150"/>
          <c:min val="0"/>
        </c:scaling>
        <c:delete val="0"/>
        <c:axPos val="l"/>
        <c:majorGridlines>
          <c:spPr>
            <a:ln w="9360">
              <a:solidFill>
                <a:srgbClr val="878787"/>
              </a:solidFill>
              <a:round/>
            </a:ln>
          </c:spPr>
        </c:majorGridlines>
        <c:numFmt formatCode="#,##0;[RED]#,##0" sourceLinked="0"/>
        <c:majorTickMark val="out"/>
        <c:minorTickMark val="none"/>
        <c:tickLblPos val="nextTo"/>
        <c:spPr>
          <a:ln w="9360">
            <a:solidFill>
              <a:srgbClr val="878787"/>
            </a:solidFill>
            <a:round/>
          </a:ln>
        </c:spPr>
        <c:txPr>
          <a:bodyPr/>
          <a:lstStyle/>
          <a:p>
            <a:pPr>
              <a:defRPr b="0" sz="1000" spc="-1" strike="noStrike">
                <a:solidFill>
                  <a:srgbClr val="000000"/>
                </a:solidFill>
                <a:latin typeface="Calibri"/>
              </a:defRPr>
            </a:pPr>
          </a:p>
        </c:txPr>
        <c:crossAx val="21562734"/>
        <c:crosses val="autoZero"/>
        <c:crossBetween val="between"/>
        <c:majorUnit val="50"/>
        <c:minorUnit val="5"/>
      </c:valAx>
    </c:plotArea>
    <c:legend>
      <c:legendPos val="r"/>
      <c:layout>
        <c:manualLayout>
          <c:xMode val="edge"/>
          <c:yMode val="edge"/>
          <c:x val="0.800625"/>
          <c:y val="0.0945555555555556"/>
          <c:w val="0.183136446027877"/>
          <c:h val="0.258695410601178"/>
        </c:manualLayout>
      </c:layout>
      <c:overlay val="0"/>
      <c:spPr>
        <a:noFill/>
        <a:ln w="0">
          <a:noFill/>
        </a:ln>
      </c:spPr>
      <c:txPr>
        <a:bodyPr/>
        <a:lstStyle/>
        <a:p>
          <a:pPr>
            <a:defRPr b="1" sz="1000" spc="-1" strike="noStrike">
              <a:solidFill>
                <a:srgbClr val="000000"/>
              </a:solidFill>
              <a:latin typeface="Calibri"/>
            </a:defRPr>
          </a:pPr>
        </a:p>
      </c:txPr>
    </c:legend>
    <c:plotVisOnly val="1"/>
    <c:dispBlanksAs val="gap"/>
  </c:chart>
  <c:spPr>
    <a:solidFill>
      <a:srgbClr val="ffffff"/>
    </a:solidFill>
    <a:ln w="9360">
      <a:solidFill>
        <a:srgbClr val="d9d9d9"/>
      </a:solidFill>
      <a:round/>
    </a:ln>
  </c:spPr>
  <c:externalData r:id="rId1"/>
</c:chartSpace>
</file>

<file path=word/drawings/_rels/drawing3.xml.rels><?xml version="1.0" encoding="UTF-8"?>
<Relationships xmlns="http://schemas.openxmlformats.org/package/2006/relationships"><Relationship Id="rId1" Type="http://schemas.openxmlformats.org/officeDocument/2006/relationships/image" Target="../media/image1.wmf"/><Relationship Id="rId2" Type="http://schemas.openxmlformats.org/officeDocument/2006/relationships/image" Target="../media/image1.wmf"/>
</Relationships>
</file>

<file path=word/drawings/drawing3.xml><?xml version="1.0" encoding="utf-8"?>
<c:userShapes xmlns:cdr="http://schemas.openxmlformats.org/drawingml/2006/chartDrawing" xmlns:a="http://schemas.openxmlformats.org/drawingml/2006/main" xmlns:c="http://schemas.openxmlformats.org/drawingml/2006/chart" xmlns:r="http://schemas.openxmlformats.org/officeDocument/2006/relationships">
  <cdr:relSizeAnchor>
    <cdr:from>
      <cdr:x>0.706907644616015</cdr:x>
      <cdr:y>0.720965309200603</cdr:y>
    </cdr:from>
    <cdr:to>
      <cdr:x>0.718371644148096</cdr:x>
      <cdr:y>0.77526395173454</cdr:y>
    </cdr:to>
    <cdr:pic>
      <cdr:nvPicPr>
        <cdr:cNvPr id="0" name="" descr=""/>
        <cdr:cNvPicPr/>
      </cdr:nvPicPr>
      <cdr:blipFill>
        <a:blip r:embed="rId1"/>
        <a:stretch/>
      </cdr:blipFill>
      <cdr:spPr>
        <a:xfrm>
          <a:off x="0" y="0"/>
          <a:ext cx="70560" cy="129600"/>
        </a:xfrm>
        <a:prstGeom prst="rect">
          <a:avLst/>
        </a:prstGeom>
        <a:ln w="0">
          <a:noFill/>
        </a:ln>
      </cdr:spPr>
    </cdr:pic>
  </cdr:relSizeAnchor>
  <cdr:relSizeAnchor>
    <cdr:from>
      <cdr:x>0.664093115751301</cdr:x>
      <cdr:y>0.712066365007542</cdr:y>
    </cdr:from>
    <cdr:to>
      <cdr:x>0.679183482482307</cdr:x>
      <cdr:y>0.765460030165913</cdr:y>
    </cdr:to>
    <cdr:pic>
      <cdr:nvPicPr>
        <cdr:cNvPr id="1" name="" descr=""/>
        <cdr:cNvPicPr/>
      </cdr:nvPicPr>
      <cdr:blipFill>
        <a:blip r:embed="rId2"/>
        <a:stretch/>
      </cdr:blipFill>
      <cdr:spPr>
        <a:xfrm>
          <a:off x="0" y="0"/>
          <a:ext cx="92880" cy="127440"/>
        </a:xfrm>
        <a:prstGeom prst="rect">
          <a:avLst/>
        </a:prstGeom>
        <a:ln w="0">
          <a:noFill/>
        </a:ln>
      </cdr:spPr>
    </cdr:pic>
  </cdr:relSizeAnchor>
</c:userShape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099820-2BB1-419F-8999-50B1352D9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6973</TotalTime>
  <Application>LibreOffice/24.2.4.2$Linux_X86_64 LibreOffice_project/51a6219feb6075d9a4c46691dcfe0cd9c4fff3c2</Application>
  <AppVersion>15.0000</AppVersion>
  <Pages>7</Pages>
  <Words>1784</Words>
  <Characters>11116</Characters>
  <CharactersWithSpaces>12941</CharactersWithSpaces>
  <Paragraphs>138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2023-03-24T01:53:00Z</dcterms:created>
  <dc:creator>Shalgunova</dc:creator>
  <dc:description/>
  <dc:language>ru-RU</dc:language>
  <cp:lastModifiedBy/>
  <cp:lastPrinted>2025-12-09T11:10:26Z</cp:lastPrinted>
  <dcterms:modified xsi:type="dcterms:W3CDTF">2025-12-23T16:52:55Z</dcterms:modified>
  <cp:revision>414</cp:revision>
  <dc:subject/>
  <dc:title>Информационно-аналитический обзор обращений граждан, поступивших в администрацию города Бердска Новосибирской области в апреле2014 года, и результаты их рассмотрения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