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.xlsx" ContentType="application/vnd.openxmlformats-officedocument.spreadsheetml.sheet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Информационно-аналитический обзор обращений граждан, поступивших в администрацию города Бердска Новосибирской области в апреле 2026 года, и результаты их рассмотрения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Рассмотрение обращений граждан, организаций и общественных объединений (далее – граждан), адресованных Главе города Бердска Новосибирской области, ведется в соответствии с Конституцией Российской Федерации, действующим федеральным и областным законодательством, нормативными правовыми актами города Бердска Новосибирской области. Организацию работы по объективному, всестороннему и своевременному рассмотрению обращений </w:t>
      </w:r>
      <w:r>
        <w:rPr>
          <w:rFonts w:ascii="Times New Roman" w:hAnsi="Times New Roman"/>
          <w:sz w:val="28"/>
          <w:szCs w:val="28"/>
          <w:lang w:eastAsia="ru-RU"/>
        </w:rPr>
        <w:t>осуществляе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</w:t>
      </w:r>
      <w:r>
        <w:rPr>
          <w:rFonts w:ascii="Times New Roman" w:hAnsi="Times New Roman"/>
          <w:color w:val="000000"/>
          <w:sz w:val="28"/>
          <w:szCs w:val="28"/>
        </w:rPr>
        <w:t>отдел общественной приемной Главы города Бердска управления документационного обеспечения и контроля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города Бердска.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апреле 2026 года Главе города Бердска, заместителям главы администрации поступило 618 обращений (в марте 2026 года – 587 обращений, в апреле 2025 года – 616 обращений), в том числе: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письменных обращений – 177 (в марте 2026 года – 169, в апрель 2025 года – 241);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обращений на личных приемах граждан Главой города, заместителями главы администрации – 27 (в марте 2026 года – 17, в апреле 2025 года – 13);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устных сообщений и запросов по справочному телефону отдела общественной приемной Главы города, поставленных на контроль – 17 (в марте 2026 года – 26, в апреле 2025 года – 10);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ind w:hanging="360" w:left="72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личных обращений к специалистам отдела общественной приемной Главы города, требующих принятия мер – 1 (в марте 2026 года – 0, в апреле 2025 года – 3);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240" w:before="0" w:after="0"/>
        <w:ind w:hanging="360" w:left="72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сообщений через цифровую платформу обратной связи – подсистему Единого портала «Госуслуги» (ПОС) – 396 (в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марте 2026 года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– 375,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апреле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2025 года – 349).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C9211E"/>
          <w:sz w:val="20"/>
          <w:szCs w:val="20"/>
          <w:lang w:eastAsia="ru-RU"/>
        </w:rPr>
      </w:pPr>
      <w:r>
        <w:rPr>
          <w:rFonts w:ascii="Times New Roman" w:hAnsi="Times New Roman"/>
          <w:color w:val="C9211E"/>
          <w:sz w:val="20"/>
          <w:szCs w:val="20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142" w:left="-142"/>
        <w:jc w:val="both"/>
        <w:rPr>
          <w:color w:val="C9211E"/>
        </w:rPr>
      </w:pPr>
      <w:r>
        <w:rPr/>
        <w:drawing>
          <wp:inline distT="0" distB="0" distL="0" distR="0">
            <wp:extent cx="6167755" cy="2096770"/>
            <wp:effectExtent l="0" t="0" r="0" b="0"/>
            <wp:docPr id="1" name="Диаграмма 2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142" w:left="-14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72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1.</w:t>
        <w:tab/>
        <w:t>Письменные обращения граждан.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720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0000"/>
          <w:sz w:val="20"/>
          <w:szCs w:val="20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апреле 2026 года Главе города Бердска, заместителям главы администрации поступило 177 письменных обращений (в марте 2026 года – 169, в апрель 2025 года – 241), в том числе в форме электронного документа через официальный сайт администрации города Бердска – 53 обращения (в марте 2026 года – 50, в апреле 2025 года – 72).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Поступившие обращения граждан были направлены на рассмотрение в администрацию города Бердска: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- 20 – </w:t>
      </w: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из прокуратуры города Бердска;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- 16 – из Управления по работе с обращениями граждан – общественной приемной Губернатора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- 14 – из федеральных органов исполнительной власти и исполнительных органов государственной власти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lang w:eastAsia="ru-RU"/>
        </w:rPr>
        <w:t>- 10 – из Совета депутатов города Бердска;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- 3 – из Законодательного Собрания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shd w:fill="auto" w:val="clear"/>
          <w:lang w:eastAsia="ru-RU"/>
        </w:rPr>
        <w:t>- 2 – из иных органов местного самоуправления Новосибирской области;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8"/>
          <w:szCs w:val="28"/>
          <w:shd w:fill="auto" w:val="clear"/>
          <w:lang w:eastAsia="ru-RU"/>
        </w:rPr>
        <w:t>- 1 – от Уполномоченного по правам ребенка в Новосибирской области;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- 111 – непосредственно от жителей города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C9211E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C9211E"/>
          <w:sz w:val="28"/>
          <w:szCs w:val="28"/>
          <w:lang w:eastAsia="ru-RU"/>
        </w:rPr>
      </w:r>
    </w:p>
    <w:p>
      <w:pPr>
        <w:pStyle w:val="Normal"/>
        <w:rPr>
          <w:color w:val="C9211E"/>
        </w:rPr>
      </w:pPr>
      <w:r>
        <w:rPr/>
        <w:drawing>
          <wp:inline distT="0" distB="0" distL="0" distR="0">
            <wp:extent cx="6146800" cy="2125345"/>
            <wp:effectExtent l="0" t="0" r="0" b="0"/>
            <wp:docPr id="2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видам письменные обращения подразделяются на: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заявления – 165 (в марте 2026 года – 157, в апреле 2025 года – 226);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жалобы – 1 (в марте 2026 года – 1, в апреле 2025 года – 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запросы – 10 (в марте 2026 года – 11, в апреле 2025 года – 12);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 обращения (благодарности, приглашения и т.п.) – 1 (в марте 2026 года – 0, в апреле 2025 года – 2).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177 письменных обращениях содержится 184 вопроса, относящихся к следующим тематическим разделам: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C9211E"/>
          <w:sz w:val="4"/>
          <w:szCs w:val="4"/>
          <w:lang w:eastAsia="ru-RU"/>
        </w:rPr>
      </w:pPr>
      <w:r>
        <w:rPr>
          <w:rFonts w:ascii="Times New Roman" w:hAnsi="Times New Roman"/>
          <w:color w:val="C9211E"/>
          <w:sz w:val="4"/>
          <w:szCs w:val="4"/>
          <w:lang w:eastAsia="ru-RU"/>
        </w:rPr>
      </w:r>
    </w:p>
    <w:p>
      <w:pPr>
        <w:pStyle w:val="Normal"/>
        <w:spacing w:before="0" w:after="29"/>
        <w:rPr>
          <w:color w:val="C9211E"/>
        </w:rPr>
      </w:pPr>
      <w:r>
        <w:rPr/>
        <w:drawing>
          <wp:inline distT="0" distB="0" distL="0" distR="0">
            <wp:extent cx="6189980" cy="2204085"/>
            <wp:effectExtent l="0" t="0" r="0" b="0"/>
            <wp:docPr id="3" name="Диаграмма 3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«Государство, общество, политика» – 14 – 7%: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конституционный строй – 9 (в марте 2026 года – 11, в апреле 2025 года – 31) – 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предоставление информации (5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); деятельность органов местного самоуправления и его руководителей (3); деятельность некоммерческих организаций (1).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основы государственного управления – 5 (в марте 2026 года – 11, в апреле 2025 года – 7)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– истребление дополнительных документов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 и материалов (1); прекращение рассмотрения обращения (1); личный прием должностными лицами органов местного самоуправления (1); почтовое отправление не имеющее смысла (1); приемные государственных и муниципальных органов власти (1).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«Социальная сфера» – 13 – 7%: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образование, наука, культура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 (в марте 2026 года – 8, в апреле 2025 года – 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i/>
          <w:color w:val="C9211E"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конфликтная ситуация в образовательной организации (5); контроль качества и надзор в сфере образования (3); дистанционное образование (1). взаимодействие граждан и организаций со средствами массовой информации (1).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здравоохранение – 2 (в марте 2026 года – 4, в апреле 2025 года – 2)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врачебно-консультационная комиссия (1); санитарно-эпидемиологическое благополучие населения (1).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- социальное обеспечение – 1 (в марте 2026 года – 3, в апреле 2025 года – 8) –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просьбы об оказании финансовой помощи (1).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«Экономика» – 110 – 60%: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хозяйственная деятельность – 90 (в марте 2026 года – 72, в апреле 2025 года – 110)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– комплексное благоустройство (16);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содержание транспортной инфраструктуры (16);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благоустройство и ремонт подъездных дорог и тротуаров (14); уборка мусора и других предметов (10); водоотведение (10); транспортное обслуживание населения (9); строительство (7); дорожные знаки (3);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 уличное освещение (3); бытовое обслуживание населения (1); картография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природные ресурсы и охрана окружающей среды – 14 (в марте 2026 года – 9, в апреле 2025 года – 30)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–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лесное хозяйство (7); земельные вопросы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(6); охрана окружающей природной среды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информация и информатизация – 6 (в марте 2026 года – 2, в апреле 2025 года – 2)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– запросы архивных данных (5); реклама (1).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«Оборона, безопасность, законность» – 5 – 3%: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оборона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 (в марте 2026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2)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– предоставление жилья по договору социального найма (2); поступление на военную службу по контракту, заключение контракта (1); памятники воинам (1).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безопасность и охрана правопорядка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 (в марте 2026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1)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 –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нарушение правил парковки автотранспорта, в том числе на внутридворовой территории и вне организованных автостоянок (1).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«Жилищно–коммунальная сфера» – 42 – 23%: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коммунальное хозяйство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37 (в марте 2026 года – 34, в апреле 2025 года – 32)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–</w:t>
      </w:r>
      <w:r>
        <w:rPr>
          <w:rFonts w:ascii="Times New Roman" w:hAnsi="Times New Roman"/>
          <w:i/>
          <w:color w:val="C9211E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коммунально-бытовое хозяйство и предоставление услуг в условиях </w:t>
      </w:r>
      <w:r>
        <w:rPr>
          <w:rFonts w:ascii="Times New Roman" w:hAnsi="Times New Roman"/>
          <w:i/>
          <w:color w:val="000000"/>
          <w:sz w:val="26"/>
          <w:szCs w:val="26"/>
        </w:rPr>
        <w:t>рынка (21); содержание общего имущества (5); обращение с твердыми коммунальными отходами (3); ремонт и эксплуатация ливневой канализации (3); деятельность управляющих организаций (2); капитальный ремонт общего имущества (1); муниципальный жилищный фонд (1); оплата коммунальных услуг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lang w:eastAsia="ru-RU"/>
        </w:rPr>
        <w:t>- обеспечение граждан жильем – 3 (в марте 2026 года –6, в апреле 2025 года – 6)</w:t>
      </w:r>
      <w:r>
        <w:rPr>
          <w:rFonts w:ascii="Times New Roman" w:hAnsi="Times New Roman"/>
          <w:i w:val="false"/>
          <w:iCs w:val="false"/>
          <w:color w:val="C9211E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улучшение жилищных условий (2); обследование жилого фонда на предмет пригодности для проживания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жилищный фонд – 1 (в марте 2026 года – 0, в апреле 2025 года – 0) 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приватизация жилищного фонда (1).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- общие положения жилищного законодательства – 1 (в марте 2026 года – 4, в апреле 2025 года – 7) </w:t>
      </w:r>
      <w:r>
        <w:rPr>
          <w:rFonts w:eastAsia="Calibri" w:cs="Times New Roman" w:ascii="Times New Roman" w:hAnsi="Times New Roman"/>
          <w:i/>
          <w:color w:val="000000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>нормативно-правовое регулирование обеспечения условий для осуществления гражданами права на жилище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Исполнение письменных обращений граждан, поступивших в администрацию города Бердска, было поставлено на контроль.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Из всех письменных обращений, поступивших в апреле 2026 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 рассмотрено с выездом на место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19 обращений – 11% (в марте 2026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24 обращения – 14%, в апреле 2025 года – 16 обращений – 7%).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 рассмотрено с отлагательным сроком исполнения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 обращений – 3% (в марте 2026 года – 10 обращений – 6%,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13 обращений – 5%).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результатам рассмотрения письменных обращений граждан, поступивших в ап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реле 2026 года: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поддержано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(предложение признано целесообразным, заявление или жалоба – обоснованными и подлежащими удовлетворению) – 10 обращений – 6% (в марте 2026 года – 16 обращений – 9%,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2 обращения – 1%);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даны разъяснения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– 153 обращения – 86% (в марте 2026 года – 146 обращений – 87%,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225 обращений – 93%);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- </w:t>
      </w:r>
      <w:r>
        <w:rPr>
          <w:rFonts w:eastAsia="Calibri" w:cs="Times New Roman" w:ascii="Times New Roman" w:hAnsi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перенаправлено по компетенции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в территориальные федеральные органы исполнительной власти и иные государственные органы, организации и учреждения – 14 обращений – 8% (в марте 2026 года – 7 обращений – 4%,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 14 обращений – 6%).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адрес заявителей подготовлена и направлена соответствующая информация.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</w:t>
        <w:tab/>
        <w:t>Личный прием граждан Главой города, заместителями главы администрации, руководителями структурных подразделений администрации.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апреле 2026 года Главой города Бердс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ка, заместителями главы администрации, и руководителями структурных подразделений администрации на личном приеме приняты 27 человек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 марте 2026 года – 17, в апреле 2025 года – 13).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личных приемах жителями поднято 33 вопроса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следующих тематических разделах: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хозяйственной деятельности (11):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водоотведение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благоустройство и ремонт дорог и тротуаров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eastAsia="Times New Roman" w:ascii="Times New Roman" w:hAnsi="Times New Roman"/>
          <w:i/>
          <w:sz w:val="26"/>
          <w:szCs w:val="26"/>
          <w:lang w:eastAsia="ru-RU"/>
        </w:rPr>
        <w:t>- комплексное благоустройство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безопасность дорожного движения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торговля(1);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уборка мусора и посторонних предметов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социальная сфера (10):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трудовые отношения (5);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социальное обеспечение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здравоохранение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популяризация и пропаганда физической культуры и спорта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обеспечение граждан жилищем (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1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общего имущества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перебои в водоснабжении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теплоснабжении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государства, общества и политики (4):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деятельность органов местного самоуправления и должностных лиц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 xml:space="preserve"> обращение имущества в муниципальную собственность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(1);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государственные и профессиональные праздники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природных ресурсов (2):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земельные вопросы (2).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о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бороны, безопасности, законности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b w:val="false"/>
          <w:bCs w:val="false"/>
          <w:i/>
          <w:i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- социальная защита военнослужащих и членов их семей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информации и информатизации (1):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shd w:fill="auto" w:val="clear"/>
          <w:lang w:eastAsia="ru-RU"/>
        </w:rPr>
        <w:t>- архив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результатам рассмотрения обращений, заявленных на личных приемах, жителям предоставлены разъяснения.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  <w:tab/>
        <w:t>Устные сообщения и запросы по справочному телефону отдела общественной приемной Главы города.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C9211E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справочному телефону отдела общественной приемной Главы города Бердска в апреле 2026 года зарегистрировано 17 сообщений (в марте 2026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26, в апреле 2025 года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10).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устных сообщениях жителями поднято 19 вопросов в следующих тематических разделах: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хозяйственной деятельности (10):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bCs w:val="false"/>
          <w:i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уборка мусора и посторонних предметов (7);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- комплексное благоустройство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- благоустройство и ремонт дорог и тротуаров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(5):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предоставление коммунальных услуг ненадлежащего качества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ремонт и эксплуатация ливневой канализации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водоснабжении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природных ресурсов (4):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>- лесное хозяйство (4).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всем вопросам, содержащимся в устных сообщениях и запросах, предоставлена запрашиваемая информация, даны консультации и разъяснения.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360"/>
        <w:jc w:val="center"/>
        <w:rPr>
          <w:color w:val="000000"/>
          <w:highlight w:val="none"/>
          <w:shd w:fill="auto" w:val="clear"/>
        </w:rPr>
      </w:pPr>
      <w:r>
        <w:rPr/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360"/>
        <w:jc w:val="center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  <w:t>4. Прием граждан специалистами отдела общественной приемной Главы города.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6598"/>
        <w:jc w:val="center"/>
        <w:rPr>
          <w:rFonts w:ascii="Times New Roman" w:hAnsi="Times New Roman"/>
          <w:b/>
          <w:color w:val="000000"/>
          <w:sz w:val="28"/>
          <w:szCs w:val="28"/>
          <w:highlight w:val="none"/>
          <w:shd w:fill="auto" w:val="clear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В апреле 2026 года специалистами отдела общественной приемной Главы города принят 1 человек (в марте 2026 года – 0, в апреле 2025 года – 3) по вопросу с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одержания кладбища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8"/>
          <w:szCs w:val="28"/>
          <w:highlight w:val="none"/>
          <w:shd w:fill="auto" w:val="clear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По всем вопросам, содержащимся в личных обращениях, даны консультации и разъяснения.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Сообщения граждан через платформу обратной связи.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284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апреле 2026 года через цифровую платформу обратной связи – подсистему Единого портала «Госуслуги» (ПОС) в администрацию города Бердска гражданами было направлено 396 сообщений (в марте 2026 года – 375, в апреле 2025 года – 349) по вопросам в следующих тематических разделах: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сфера хозяйственной деятельности (280):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благоустройство и ремонт дорог и тротуаров (102);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уборка мусора и посторонних предметов (68);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комплексное благоустройство (38);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уличное освещение (14);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</w:t>
      </w:r>
      <w:r>
        <w:rPr>
          <w:rFonts w:eastAsia="Times New Roman" w:ascii="Times New Roman" w:hAnsi="Times New Roman"/>
          <w:b w:val="false"/>
          <w:i/>
          <w:color w:val="000000"/>
          <w:sz w:val="26"/>
          <w:szCs w:val="26"/>
          <w:lang w:eastAsia="ru-RU"/>
        </w:rPr>
        <w:t>арковка автотранспорта вне организованных автостоянок</w:t>
      </w: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 xml:space="preserve"> (13);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транспортной инфраструктуры (12);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транспортное обслуживание населения (7);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строительство (7);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дорожные знаки и дорожная разметка (6);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olor w:val="000000"/>
          <w:sz w:val="26"/>
          <w:szCs w:val="26"/>
          <w:lang w:eastAsia="ru-RU"/>
        </w:rPr>
        <w:t>- водоотведение (6);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olor w:val="000000"/>
          <w:sz w:val="26"/>
          <w:szCs w:val="26"/>
          <w:lang w:eastAsia="ru-RU"/>
        </w:rPr>
        <w:t>- акарицидная обработка (3);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электроэнергетика</w:t>
      </w: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 xml:space="preserve">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организация мест для детского отдыха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торговля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в</w:t>
      </w:r>
      <w:r>
        <w:rPr>
          <w:rFonts w:ascii="Times New Roman" w:hAnsi="Times New Roman"/>
          <w:b w:val="false"/>
          <w:i/>
          <w:color w:val="000000"/>
          <w:sz w:val="26"/>
          <w:szCs w:val="26"/>
          <w:lang w:eastAsia="ru-RU"/>
        </w:rPr>
        <w:t xml:space="preserve">одоснабжение поселений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жилищно-коммунальная сфера (90):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коммунально-бытовое хозяйство и предоставление услуг в условиях рынка (26);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предоставление коммунальных услуг ненадлежащего качества (13);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ремонт и эксплуатация ливневой канализации (13);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перебои в водоснабжении (11);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обращение с твердыми коммунальными отходами (8);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содержание общего имущества (8);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деятельность управляющей компании (5);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i/>
          <w:color w:val="000000"/>
          <w:sz w:val="26"/>
          <w:szCs w:val="26"/>
          <w:lang w:eastAsia="ru-RU"/>
        </w:rPr>
        <w:t>- обеспечение граждан жилищем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устранение аварийных ситуаций на магистральных коммуникациях (2);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  <w:lang w:eastAsia="ru-RU"/>
        </w:rPr>
        <w:t>- оплата жилищно-коммунальных услуг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природных ресурсов (12):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 xml:space="preserve"> лесн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ое хозяйство (10);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содержание животных (1);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охрана окружающей среды 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государства, общества и политики (8):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 xml:space="preserve"> присвоение адреса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(3);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 xml:space="preserve"> обращение имущества в муниципальную собственность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(2);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/>
          <w:b w:val="false"/>
          <w:bCs w:val="false"/>
          <w:i/>
          <w:color w:val="000000"/>
          <w:sz w:val="26"/>
          <w:szCs w:val="26"/>
          <w:lang w:eastAsia="ru-RU"/>
        </w:rPr>
        <w:t xml:space="preserve"> пре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доставление информации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деятельность органов местного самоуправления, должностных лиц (1);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- запись на </w:t>
      </w:r>
      <w:r>
        <w:rPr>
          <w:rFonts w:eastAsia="Calibri" w:cs="Times New Roman" w:ascii="Times New Roman" w:hAnsi="Times New Roman"/>
          <w:i/>
          <w:color w:val="000000"/>
          <w:kern w:val="0"/>
          <w:sz w:val="26"/>
          <w:szCs w:val="26"/>
          <w:lang w:val="ru-RU" w:eastAsia="ru-RU" w:bidi="ar-SA"/>
        </w:rPr>
        <w:t xml:space="preserve">личный прием к должностным лицам органов местного самоуправления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(1).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социальная сфера (5):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образование (3);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здравоохранение (2).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сфера о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бороны, безопасности, законности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(1):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both"/>
        <w:rPr>
          <w:rFonts w:ascii="Times New Roman" w:hAnsi="Times New Roman"/>
          <w:i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- охрана общественного порядка (1).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На все сообщения были предоставлены разъяснения, в случае необходимости приняты меры.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40" w:before="0" w:after="0"/>
        <w:ind w:hanging="0" w:left="284"/>
        <w:jc w:val="center"/>
        <w:rPr>
          <w:color w:val="000000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6.</w:t>
        <w:tab/>
        <w:t>Мобильная группа Главы города Бердска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апреле 2026 года мобильной группой было осуществлено 3 выезда, в ходе которых отработано 4 вопроса. По всем вопросам приняты меры и проверено качество выполненных работ.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C9211E"/>
          <w:sz w:val="28"/>
          <w:szCs w:val="28"/>
          <w:lang w:eastAsia="ru-RU"/>
        </w:rPr>
      </w:pPr>
      <w:r>
        <w:rPr>
          <w:rFonts w:ascii="Times New Roman" w:hAnsi="Times New Roman"/>
          <w:color w:val="C9211E"/>
          <w:sz w:val="28"/>
          <w:szCs w:val="28"/>
          <w:lang w:eastAsia="ru-RU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418" w:right="707" w:gutter="0" w:header="708" w:top="765" w:footer="0" w:bottom="709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83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d00056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9"/>
    <w:qFormat/>
    <w:rsid w:val="00d00056"/>
    <w:pPr>
      <w:keepNext w:val="true"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2" w:customStyle="1">
    <w:name w:val="Заголовок 2 Знак"/>
    <w:uiPriority w:val="99"/>
    <w:qFormat/>
    <w:locked/>
    <w:rsid w:val="00d0005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Style12" w:customStyle="1">
    <w:name w:val="Основной текст Знак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Style13" w:customStyle="1">
    <w:name w:val="Основной текст с отступом Знак"/>
    <w:link w:val="BodyTextIndented"/>
    <w:uiPriority w:val="99"/>
    <w:qFormat/>
    <w:locked/>
    <w:rsid w:val="00d00056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uiPriority w:val="99"/>
    <w:qFormat/>
    <w:locked/>
    <w:rsid w:val="00d00056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uiPriority w:val="99"/>
    <w:rsid w:val="00d00056"/>
    <w:rPr>
      <w:rFonts w:cs="Times New Roman"/>
    </w:rPr>
  </w:style>
  <w:style w:type="character" w:styleId="Style15" w:customStyle="1">
    <w:name w:val="Текст выноски Знак"/>
    <w:link w:val="BalloonText"/>
    <w:uiPriority w:val="99"/>
    <w:semiHidden/>
    <w:qFormat/>
    <w:locked/>
    <w:rsid w:val="008d2ae1"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uiPriority w:val="99"/>
    <w:qFormat/>
    <w:rsid w:val="0002334e"/>
    <w:rPr>
      <w:sz w:val="22"/>
      <w:szCs w:val="22"/>
      <w:lang w:eastAsia="en-US"/>
    </w:rPr>
  </w:style>
  <w:style w:type="character" w:styleId="gwt-inlinelabel" w:customStyle="1">
    <w:name w:val="gwt-inlinelabel"/>
    <w:qFormat/>
    <w:rsid w:val="0055281b"/>
    <w:rPr/>
  </w:style>
  <w:style w:type="character" w:styleId="InternetLink">
    <w:name w:val="Internet Link"/>
    <w:uiPriority w:val="99"/>
    <w:unhideWhenUsed/>
    <w:qFormat/>
    <w:rsid w:val="00651975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2"/>
    <w:uiPriority w:val="99"/>
    <w:rsid w:val="00d00056"/>
    <w:pPr>
      <w:spacing w:lineRule="auto" w:line="240" w:before="0" w:after="0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BodyTextIndented">
    <w:name w:val="Body Text, Indented"/>
    <w:basedOn w:val="Normal"/>
    <w:link w:val="Style13"/>
    <w:uiPriority w:val="99"/>
    <w:qFormat/>
    <w:rsid w:val="00d00056"/>
    <w:pPr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21" w:customStyle="1">
    <w:name w:val="Основной текст 21"/>
    <w:basedOn w:val="Normal"/>
    <w:uiPriority w:val="99"/>
    <w:qFormat/>
    <w:rsid w:val="00d00056"/>
    <w:pPr>
      <w:overflowPunct w:val="false"/>
      <w:spacing w:lineRule="auto" w:line="240" w:before="0" w:after="0"/>
      <w:ind w:firstLine="709"/>
      <w:jc w:val="both"/>
      <w:textAlignment w:val="baseline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d0005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31" w:customStyle="1">
    <w:name w:val="Основной текст с отступом 31"/>
    <w:basedOn w:val="Normal"/>
    <w:uiPriority w:val="99"/>
    <w:qFormat/>
    <w:rsid w:val="00d00056"/>
    <w:pPr>
      <w:overflowPunct w:val="false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Style20" w:customStyle="1">
    <w:name w:val="Знак"/>
    <w:basedOn w:val="Normal"/>
    <w:uiPriority w:val="99"/>
    <w:qFormat/>
    <w:rsid w:val="00d00056"/>
    <w:pPr>
      <w:widowControl w:val="false"/>
      <w:spacing w:lineRule="atLeast" w:line="360" w:beforeAutospacing="1" w:afterAutospacing="1"/>
      <w:jc w:val="both"/>
      <w:textAlignment w:val="baseline"/>
    </w:pPr>
    <w:rPr>
      <w:rFonts w:ascii="Tahoma" w:hAnsi="Tahoma" w:eastAsia="Times New Roman" w:cs="Tahoma"/>
      <w:sz w:val="20"/>
      <w:szCs w:val="20"/>
      <w:lang w:val="en-US"/>
    </w:rPr>
  </w:style>
  <w:style w:type="paragraph" w:styleId="11" w:customStyle="1">
    <w:name w:val="Абзац списка1"/>
    <w:basedOn w:val="Normal"/>
    <w:uiPriority w:val="99"/>
    <w:qFormat/>
    <w:rsid w:val="00d00056"/>
    <w:pPr>
      <w:spacing w:before="0" w:after="200"/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Style15"/>
    <w:uiPriority w:val="99"/>
    <w:semiHidden/>
    <w:qFormat/>
    <w:rsid w:val="008d2a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Знак Знак Знак"/>
    <w:basedOn w:val="Normal"/>
    <w:uiPriority w:val="99"/>
    <w:qFormat/>
    <w:rsid w:val="006022e3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Footer">
    <w:name w:val="Footer"/>
    <w:basedOn w:val="Normal"/>
    <w:link w:val="Style16"/>
    <w:uiPriority w:val="99"/>
    <w:unhideWhenUsed/>
    <w:rsid w:val="000233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6f58f5"/>
    <w:pPr>
      <w:spacing w:before="0" w:after="200"/>
      <w:ind w:left="720"/>
      <w:contextualSpacing/>
    </w:pPr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Структура и количество обращений, поступивших 
в администрацию города Бердска в апреле 2026 года
в сравнении с мартом 2026 года и апрелем 2025 года.</a:t>
            </a:r>
          </a:p>
        </c:rich>
      </c:tx>
      <c:layout>
        <c:manualLayout>
          <c:xMode val="edge"/>
          <c:yMode val="edge"/>
          <c:x val="0.218830259164137"/>
          <c:y val="0.0348557692307692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63"/>
          <c:y val="0.322555555555556"/>
          <c:w val="0.92975"/>
          <c:h val="0.4594444444444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-0.00109597101941877"/>
                  <c:y val="-0.003123932652523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-0.00486583286435366"/>
                  <c:y val="0.017405258114999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13104234063765"/>
                  <c:y val="0.0026494286467466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0518796837011437"/>
                  <c:y val="0.0047045258922470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86046511627907"/>
                  <c:y val="0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-0.01167474169634"/>
                  <c:y val="0.017173278378842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618</c:v>
                </c:pt>
                <c:pt idx="1">
                  <c:v>177</c:v>
                </c:pt>
                <c:pt idx="2">
                  <c:v>27</c:v>
                </c:pt>
                <c:pt idx="3">
                  <c:v>17</c:v>
                </c:pt>
                <c:pt idx="4">
                  <c:v>1</c:v>
                </c:pt>
                <c:pt idx="5">
                  <c:v>396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Март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30634600907445"/>
                  <c:y val="-0.0083402675102293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170286517256885"/>
                  <c:y val="0.01682576723258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3776068689088"/>
                  <c:y val="0.0056917557794358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0815039980467565"/>
                  <c:y val="-0.0017847769028871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65374677002584"/>
                  <c:y val="0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0"/>
                  <c:y val="0.017173278378842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587</c:v>
                </c:pt>
                <c:pt idx="1">
                  <c:v>169</c:v>
                </c:pt>
                <c:pt idx="2">
                  <c:v>17</c:v>
                </c:pt>
                <c:pt idx="3">
                  <c:v>26</c:v>
                </c:pt>
                <c:pt idx="4">
                  <c:v>0</c:v>
                </c:pt>
                <c:pt idx="5">
                  <c:v>375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Апрель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94586449330954"/>
                  <c:y val="0.012402106216410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41084457466073"/>
                  <c:y val="-0.0038817636878359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59316364524202"/>
                  <c:y val="0.0062052287132230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41084457466073"/>
                  <c:y val="0.0022478194592488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24031007751938"/>
                  <c:y val="-0.00046762713612763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0.01167474169634"/>
                  <c:y val="0.017173278378842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Всего обращений</c:v>
                </c:pt>
                <c:pt idx="1">
                  <c:v>Письменные обращения</c:v>
                </c:pt>
                <c:pt idx="2">
                  <c:v>Личный прием</c:v>
                </c:pt>
                <c:pt idx="3">
                  <c:v>Справочный телефон</c:v>
                </c:pt>
                <c:pt idx="4">
                  <c:v>Прием специалиста</c:v>
                </c:pt>
                <c:pt idx="5">
                  <c:v>ПОС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6"/>
                <c:pt idx="0">
                  <c:v>616</c:v>
                </c:pt>
                <c:pt idx="1">
                  <c:v>241</c:v>
                </c:pt>
                <c:pt idx="2">
                  <c:v>13</c:v>
                </c:pt>
                <c:pt idx="3">
                  <c:v>10</c:v>
                </c:pt>
                <c:pt idx="4">
                  <c:v>3</c:v>
                </c:pt>
                <c:pt idx="5">
                  <c:v>349</c:v>
                </c:pt>
              </c:numCache>
            </c:numRef>
          </c:val>
        </c:ser>
        <c:gapWidth val="150"/>
        <c:shape val="box"/>
        <c:axId val="75175364"/>
        <c:axId val="8815787"/>
        <c:axId val="0"/>
      </c:bar3DChart>
      <c:catAx>
        <c:axId val="751753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6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8815787"/>
        <c:crosses val="autoZero"/>
        <c:auto val="1"/>
        <c:lblAlgn val="ctr"/>
        <c:lblOffset val="100"/>
        <c:noMultiLvlLbl val="0"/>
      </c:catAx>
      <c:valAx>
        <c:axId val="8815787"/>
        <c:scaling>
          <c:orientation val="minMax"/>
          <c:max val="70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4f81bd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5175364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808875"/>
          <c:y val="0.17"/>
          <c:w val="0.180448778048628"/>
          <c:h val="0.17157461940215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Виды письменных обращений, поступивших в 
администрацию города Бердска в апреле 2026 года
в сравнении с мартом 2026 года и апрелем 2025 года.</a:t>
            </a:r>
          </a:p>
        </c:rich>
      </c:tx>
      <c:layout>
        <c:manualLayout>
          <c:xMode val="edge"/>
          <c:yMode val="edge"/>
          <c:x val="0.243118191402132"/>
          <c:y val="0.0564119939014061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54625"/>
          <c:y val="0.384555555555556"/>
          <c:w val="0.9044375"/>
          <c:h val="0.4691111111111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24031007751938"/>
                  <c:y val="-0.000672795481716618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17972695273556"/>
                  <c:y val="0.01669621140289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54447903314411"/>
                  <c:y val="0.0031072817468497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33774440985574"/>
                  <c:y val="0.008132360418298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Жалоба</c:v>
                </c:pt>
                <c:pt idx="2">
                  <c:v>Запрос</c:v>
                </c:pt>
                <c:pt idx="3">
                  <c:v>Не обращения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165</c:v>
                </c:pt>
                <c:pt idx="1">
                  <c:v>1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Март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10665934200085"/>
                  <c:y val="0.0070709485921589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38647785305907"/>
                  <c:y val="0.0049079990655618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3776068689089"/>
                  <c:y val="-0.0020387242170644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15540906223931"/>
                  <c:y val="0.00326008987096508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Жалоба</c:v>
                </c:pt>
                <c:pt idx="2">
                  <c:v>Запрос</c:v>
                </c:pt>
                <c:pt idx="3">
                  <c:v>Не обращения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157</c:v>
                </c:pt>
                <c:pt idx="1">
                  <c:v>1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Апрель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82424871309691"/>
                  <c:y val="-0.00093168982149482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899957272782763"/>
                  <c:y val="0.011123661898283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38647785305907"/>
                  <c:y val="-0.0056159733959956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0717605648131193"/>
                  <c:y val="0.0053323439282131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Заявление</c:v>
                </c:pt>
                <c:pt idx="1">
                  <c:v>Жалоба</c:v>
                </c:pt>
                <c:pt idx="2">
                  <c:v>Запрос</c:v>
                </c:pt>
                <c:pt idx="3">
                  <c:v>Не обращения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226</c:v>
                </c:pt>
                <c:pt idx="1">
                  <c:v>1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gapWidth val="150"/>
        <c:shape val="box"/>
        <c:axId val="76367721"/>
        <c:axId val="29903583"/>
        <c:axId val="0"/>
      </c:bar3DChart>
      <c:catAx>
        <c:axId val="7636772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29903583"/>
        <c:crosses val="autoZero"/>
        <c:auto val="1"/>
        <c:lblAlgn val="ctr"/>
        <c:lblOffset val="100"/>
        <c:noMultiLvlLbl val="0"/>
      </c:catAx>
      <c:valAx>
        <c:axId val="29903583"/>
        <c:scaling>
          <c:orientation val="minMax"/>
          <c:max val="25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6367721"/>
        <c:crosses val="autoZero"/>
        <c:crossBetween val="between"/>
        <c:majorUnit val="50"/>
        <c:minorUnit val="5"/>
      </c:valAx>
    </c:plotArea>
    <c:legend>
      <c:legendPos val="r"/>
      <c:layout>
        <c:manualLayout>
          <c:xMode val="edge"/>
          <c:yMode val="edge"/>
          <c:x val="0.817375"/>
          <c:y val="0.367"/>
          <c:w val="0.182511406962935"/>
          <c:h val="0.274919435492833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Calibri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Calibri"/>
              </a:rPr>
              <a:t>Тематика вопросов в письменных обращениях, поступивших в 
администрацию города Бердска в апреле 2026 года
в сравнении с мартом 2026 года и апрелем 2025 года.</a:t>
            </a:r>
          </a:p>
        </c:rich>
      </c:tx>
      <c:layout>
        <c:manualLayout>
          <c:xMode val="edge"/>
          <c:yMode val="edge"/>
          <c:x val="0.144992439222985"/>
          <c:y val="0.00375694217575956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layout>
        <c:manualLayout>
          <c:layoutTarget val="inner"/>
          <c:xMode val="edge"/>
          <c:yMode val="edge"/>
          <c:x val="0.06825"/>
          <c:y val="0.341"/>
          <c:w val="0.900375"/>
          <c:h val="0.4863333333333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Апрель 2026 г.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c0504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924320613769433"/>
                  <c:y val="0.006046572945505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00282656976"/>
                  <c:y val="-4.79392130722365E-00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0589428629113668"/>
                  <c:y val="-0.0025441340380397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43838481728246"/>
                  <c:y val="0.011068684907537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0924320613769433"/>
                  <c:y val="0.0065911624060691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14</c:v>
                </c:pt>
                <c:pt idx="1">
                  <c:v>13</c:v>
                </c:pt>
                <c:pt idx="2">
                  <c:v>110</c:v>
                </c:pt>
                <c:pt idx="3">
                  <c:v>5</c:v>
                </c:pt>
                <c:pt idx="4">
                  <c:v>42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Март 2026 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4f81bd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0976200282656972"/>
                  <c:y val="0.007297307014705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32586311327"/>
                  <c:y val="0.0020316638502379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0976232586311327"/>
                  <c:y val="-0.001065209314589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36053301029679"/>
                  <c:y val="0.0057584582749074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12944881889764"/>
                  <c:y val="0.00615251860640708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5"/>
                <c:pt idx="0">
                  <c:v>25</c:v>
                </c:pt>
                <c:pt idx="1">
                  <c:v>20</c:v>
                </c:pt>
                <c:pt idx="2">
                  <c:v>83</c:v>
                </c:pt>
                <c:pt idx="3">
                  <c:v>4</c:v>
                </c:pt>
                <c:pt idx="4">
                  <c:v>46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Апрель 2025 г.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0.0138648899656774"/>
                  <c:y val="0.0048226848356284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0976232586311327"/>
                  <c:y val="0.0003163988063136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25919644659802"/>
                  <c:y val="0.0076884909934203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115540480516858"/>
                  <c:y val="0.0083346909222554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.0159161720169594"/>
                  <c:y val="0.0083313314649228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1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1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 - коммунальная сфера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5"/>
                <c:pt idx="0">
                  <c:v>38</c:v>
                </c:pt>
                <c:pt idx="1">
                  <c:v>24</c:v>
                </c:pt>
                <c:pt idx="2">
                  <c:v>143</c:v>
                </c:pt>
                <c:pt idx="3">
                  <c:v>3</c:v>
                </c:pt>
                <c:pt idx="4">
                  <c:v>47</c:v>
                </c:pt>
              </c:numCache>
            </c:numRef>
          </c:val>
        </c:ser>
        <c:gapWidth val="150"/>
        <c:shape val="box"/>
        <c:axId val="56146110"/>
        <c:axId val="95570586"/>
        <c:axId val="0"/>
      </c:bar3DChart>
      <c:catAx>
        <c:axId val="5614611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95570586"/>
        <c:crosses val="autoZero"/>
        <c:auto val="1"/>
        <c:lblAlgn val="ctr"/>
        <c:lblOffset val="100"/>
        <c:noMultiLvlLbl val="0"/>
      </c:catAx>
      <c:valAx>
        <c:axId val="95570586"/>
        <c:scaling>
          <c:orientation val="minMax"/>
          <c:max val="150"/>
          <c:min val="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#,##0;[RED]#,##0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56146110"/>
        <c:crosses val="autoZero"/>
        <c:crossBetween val="between"/>
        <c:majorUnit val="50"/>
        <c:minorUnit val="5"/>
      </c:valAx>
    </c:plotArea>
    <c:legend>
      <c:legendPos val="r"/>
      <c:layout>
        <c:manualLayout>
          <c:xMode val="edge"/>
          <c:yMode val="edge"/>
          <c:x val="0.7819375"/>
          <c:y val="0.114"/>
          <c:w val="0.183136446027877"/>
          <c:h val="0.258695410601178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1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4F3B3-23CC-4A9E-A39B-9E0AEFD2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Application>LibreOffice/24.2.4.2$Linux_X86_64 LibreOffice_project/51a6219feb6075d9a4c46691dcfe0cd9c4fff3c2</Application>
  <AppVersion>15.0000</AppVersion>
  <Pages>7</Pages>
  <Words>1772</Words>
  <Characters>11076</Characters>
  <CharactersWithSpaces>12853</CharactersWithSpaces>
  <Paragraphs>153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2023-03-24T01:53:00Z</dcterms:created>
  <dc:creator>Shalgunova</dc:creator>
  <dc:description/>
  <dc:language>ru-RU</dc:language>
  <cp:lastModifiedBy/>
  <cp:lastPrinted>2025-06-03T09:03:19Z</cp:lastPrinted>
  <dcterms:modified xsi:type="dcterms:W3CDTF">2026-06-23T13:57:37Z</dcterms:modified>
  <cp:revision>235</cp:revision>
  <dc:subject/>
  <dc:title>Информационно-аналитический обзор обращений граждан, поступивших в администрацию города Бердска Новосибирской области в апреле2014 года, и результаты их рассмотрения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