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hanging="0" w:left="0" w:right="-286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АДМИНИСТРАЦИЯ ГОРОДА БЕРДСКА</w:t>
      </w:r>
    </w:p>
    <w:p>
      <w:pPr>
        <w:pStyle w:val="Normal"/>
        <w:spacing w:lineRule="auto" w:line="240" w:before="0" w:after="0"/>
        <w:ind w:hanging="0" w:left="0" w:right="-286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hanging="0" w:left="0" w:right="-286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ПОСТАНОВЛЕНИЕ</w:t>
      </w:r>
    </w:p>
    <w:p>
      <w:pPr>
        <w:pStyle w:val="Normal"/>
        <w:spacing w:lineRule="auto" w:line="240" w:before="0" w:after="0"/>
        <w:ind w:hanging="0" w:left="0" w:right="-286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30.07.2026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  <w:lang w:eastAsia="ru-RU"/>
        </w:rPr>
        <w:t>2687/65</w:t>
      </w:r>
    </w:p>
    <w:p>
      <w:pPr>
        <w:pStyle w:val="Normal"/>
        <w:spacing w:lineRule="auto" w:line="240" w:before="0" w:after="0"/>
        <w:ind w:hanging="0" w:left="0" w:right="-286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hanging="0" w:left="0" w:right="-286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568" w:left="-284" w:right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Об утверждении плана мероприятий («дорожной карты») по профилактике</w:t>
      </w:r>
    </w:p>
    <w:p>
      <w:pPr>
        <w:pStyle w:val="Normal"/>
        <w:spacing w:lineRule="auto" w:line="240" w:before="0" w:after="0"/>
        <w:ind w:firstLine="568" w:left="-284" w:right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социального сиротства на 2026-2030 годы на территории города Бердска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firstLine="680" w:left="0" w:righ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Указанием Президента Российской Федерации от 26.05.2025 № Пр-1213 по развитию системы помощи семьям, профилактике социального сиротства до 2030 года,</w:t>
      </w:r>
      <w:r>
        <w:rPr>
          <w:rFonts w:ascii="Times New Roman" w:hAnsi="Times New Roman"/>
          <w:sz w:val="28"/>
          <w:szCs w:val="28"/>
        </w:rPr>
        <w:t xml:space="preserve"> Федеральным законом от 24 </w:t>
      </w:r>
      <w:r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1999 </w:t>
      </w:r>
      <w:r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№ 120-ФЗ «Об основах системы профилактики безнадзорности и правонарушений несовершеннолетних», м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одельным региональным планом мероприятий («дорожной картой») по развитию системы помощи семьям, профилактике социального сиротства на 2026–2030 годы, во исполнение пункта 3.4 постановления комиссии по делам несовершеннолетних и защите их прав на территории Новосибирской области от 24.06.2026 № 7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ПОСТАНОВЛЯЮ:</w:t>
      </w:r>
    </w:p>
    <w:p>
      <w:pPr>
        <w:pStyle w:val="ListParagraph"/>
        <w:tabs>
          <w:tab w:val="clear" w:pos="708"/>
          <w:tab w:val="left" w:pos="570" w:leader="none"/>
          <w:tab w:val="left" w:pos="960" w:leader="none"/>
        </w:tabs>
        <w:spacing w:lineRule="auto" w:line="240" w:before="0" w:after="0"/>
        <w:ind w:firstLine="680" w:left="0" w:righ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1. Утвердить план мероприятий («дорожную карту») по профилактике социального сиротства на 2026-2030 годов на территории города Бердска (приложение).</w:t>
      </w:r>
    </w:p>
    <w:p>
      <w:pPr>
        <w:pStyle w:val="Normal"/>
        <w:tabs>
          <w:tab w:val="clear" w:pos="708"/>
          <w:tab w:val="left" w:pos="735" w:leader="none"/>
          <w:tab w:val="left" w:pos="900" w:leader="none"/>
          <w:tab w:val="left" w:pos="930" w:leader="none"/>
        </w:tabs>
        <w:spacing w:lineRule="auto" w:line="240" w:before="0" w:after="0"/>
        <w:ind w:firstLine="68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Опубликовать настоящее постановление </w:t>
      </w:r>
      <w:r>
        <w:rPr>
          <w:rFonts w:ascii="Times New Roman" w:hAnsi="Times New Roman"/>
          <w:sz w:val="28"/>
          <w:szCs w:val="28"/>
          <w:lang w:val="ru-RU" w:eastAsia="ru-RU"/>
        </w:rPr>
        <w:t>в печатном издании «Официальный вестник органов местного самоуправления города Бердска «Вестник. Бердск», сетевом издании «Вестник-Бердск»</w:t>
      </w:r>
      <w:r>
        <w:rPr>
          <w:rFonts w:ascii="Times New Roman" w:hAnsi="Times New Roman"/>
          <w:sz w:val="28"/>
          <w:szCs w:val="28"/>
          <w:lang w:eastAsia="ru-RU"/>
        </w:rPr>
        <w:t xml:space="preserve"> и разместить на официальном сайте администрации города Бердска.</w:t>
      </w:r>
    </w:p>
    <w:p>
      <w:pPr>
        <w:pStyle w:val="Normal"/>
        <w:spacing w:lineRule="auto" w:line="240" w:before="0" w:after="0"/>
        <w:ind w:firstLine="68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3. Данное постановление вступает в силу со дня его опубликования.</w:t>
      </w:r>
    </w:p>
    <w:p>
      <w:pPr>
        <w:pStyle w:val="Normal"/>
        <w:spacing w:lineRule="auto" w:line="240" w:before="0" w:after="0"/>
        <w:ind w:firstLine="68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4. Контроль за исполнением постановления возложить на заместителя главы администрации по социальным вопросам Добролюбскую О.В.</w:t>
      </w:r>
    </w:p>
    <w:p>
      <w:pPr>
        <w:pStyle w:val="Normal"/>
        <w:spacing w:lineRule="auto" w:line="240" w:before="0" w:after="0"/>
        <w:ind w:firstLine="710" w:left="-284" w:righ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hanging="0" w:left="-284" w:righ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Глава города Бердска                                                                       С.Ю. Лапицкий</w:t>
      </w:r>
    </w:p>
    <w:p>
      <w:pPr>
        <w:pStyle w:val="Normal"/>
        <w:spacing w:lineRule="auto" w:line="240" w:before="0" w:after="0"/>
        <w:ind w:firstLine="568" w:left="-284" w:righ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hanging="0" w:left="0" w:right="-28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hanging="0" w:left="0" w:right="-28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hanging="0" w:left="0" w:right="-28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hanging="0" w:left="0" w:right="-28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hanging="0" w:left="0" w:right="-28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hanging="0" w:left="0" w:right="-28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hanging="0" w:left="0" w:right="-28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-283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Е.Н. Багреева</w:t>
      </w:r>
    </w:p>
    <w:p>
      <w:pPr>
        <w:sectPr>
          <w:type w:val="nextPage"/>
          <w:pgSz w:w="11906" w:h="16838"/>
          <w:pgMar w:left="1740" w:right="677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  <w:pStyle w:val="Normal"/>
        <w:widowControl/>
        <w:suppressAutoHyphens w:val="true"/>
        <w:bidi w:val="0"/>
        <w:spacing w:lineRule="auto" w:line="240" w:before="0" w:after="0"/>
        <w:ind w:hanging="0" w:left="0" w:right="-283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8(38341)20080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-283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ПРИЛОЖЕНИЕ </w:t>
      </w:r>
    </w:p>
    <w:p>
      <w:pPr>
        <w:pStyle w:val="Normal"/>
        <w:spacing w:lineRule="auto" w:line="240" w:before="0" w:after="0"/>
        <w:ind w:hanging="0" w:left="4956" w:right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ab/>
        <w:tab/>
        <w:tab/>
        <w:tab/>
        <w:tab/>
        <w:tab/>
        <w:tab/>
        <w:t xml:space="preserve">   к постановлению администрации  </w:t>
      </w:r>
    </w:p>
    <w:p>
      <w:pPr>
        <w:pStyle w:val="Normal"/>
        <w:spacing w:lineRule="auto" w:line="240" w:before="0" w:after="0"/>
        <w:ind w:hanging="0" w:left="4956" w:right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/>
          <w:sz w:val="28"/>
          <w:szCs w:val="28"/>
          <w:lang w:eastAsia="ru-RU"/>
        </w:rPr>
        <w:tab/>
        <w:tab/>
        <w:tab/>
        <w:tab/>
        <w:tab/>
        <w:tab/>
        <w:tab/>
        <w:t xml:space="preserve">        города Бердска</w:t>
      </w:r>
    </w:p>
    <w:p>
      <w:pPr>
        <w:pStyle w:val="Normal"/>
        <w:shd w:val="clear" w:fill="FFFFFF"/>
        <w:spacing w:lineRule="auto" w:line="240" w:before="0" w:after="0"/>
        <w:ind w:hanging="0" w:left="5812" w:right="-567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eastAsia="ru-RU"/>
        </w:rPr>
        <w:tab/>
        <w:tab/>
        <w:tab/>
        <w:tab/>
        <w:tab/>
        <w:tab/>
        <w:tab/>
        <w:t>от _</w:t>
      </w:r>
      <w:r>
        <w:rPr>
          <w:rFonts w:ascii="Times New Roman" w:hAnsi="Times New Roman"/>
          <w:sz w:val="28"/>
          <w:szCs w:val="28"/>
          <w:lang w:eastAsia="ru-RU"/>
        </w:rPr>
        <w:t>30.07.2026</w:t>
      </w:r>
      <w:r>
        <w:rPr>
          <w:rFonts w:ascii="Times New Roman" w:hAnsi="Times New Roman"/>
          <w:sz w:val="28"/>
          <w:szCs w:val="28"/>
          <w:lang w:eastAsia="ru-RU"/>
        </w:rPr>
        <w:t>№ _</w:t>
      </w:r>
      <w:r>
        <w:rPr>
          <w:rFonts w:ascii="Times New Roman" w:hAnsi="Times New Roman"/>
          <w:sz w:val="28"/>
          <w:szCs w:val="28"/>
          <w:lang w:eastAsia="ru-RU"/>
        </w:rPr>
        <w:t>2687/65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ПЛАН МЕРОПРИЯТИЙ («ДОРОЖНАЯ КАРТА») </w:t>
      </w:r>
    </w:p>
    <w:p>
      <w:pPr>
        <w:pStyle w:val="Normal"/>
        <w:spacing w:lineRule="auto" w:line="240" w:before="0" w:after="0"/>
        <w:jc w:val="center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ПО ПРОФИЛАКТИКЕ СОЦИАЛЬНОГО СИРОТСТВА на 2026–2030 ГОДЫ</w:t>
      </w:r>
    </w:p>
    <w:p>
      <w:pPr>
        <w:pStyle w:val="Normal"/>
        <w:spacing w:lineRule="auto" w:line="240" w:before="0" w:after="0"/>
        <w:jc w:val="center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на территории города Бердска </w:t>
      </w:r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                                                            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 Общие положения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1.1. Муниципальный план мероприятий («дорожная карта») по профилактике социального сиротства на 2026–2030 годы (далее – «Дорожная карта») разработан в соответствии с: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Указанием Президента Российской Федерации от 26 мая 2025 года № Пр-1213 по развитию системы помощи семьям, профилактике социального сиротства до 2030 года;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Стратегией действий по реализации семейной и демографической политики, поддержке многодетности в Российской Федерации до 2036 года, утвержденной распоряжением Правительства Российской Федерации от 15 марта 2025 года № 615-р;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Концепцией совершенствования деятельности органов опеки и попечительства в отношении несовершеннолетних граждан, утвержденной распоряжением Правительства Российской Федерации от 16 мая 2025 года № 1217 -р;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Модельным региональным планом мероприятий («дорожной картой») по развитию системы помощи семьям, профилактике социального сиротства на 2026–2030 годы;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Федеральным законом от 24 июня 1999 года № 120-ФЗ «Об основах системы профилактики безнадзорности и правонарушений несовершеннолетних»;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Федеральным законом от 24 апреля 2008 года № 48-ФЗ «Об опеке и попечительстве».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1.2. «Дорожная карта» разработана во исполнение пункта 3.4 постановления комиссии по делам несовершеннолетних и защите их прав на территории Новосибирской области от 24.06.2026 № 7.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1.3. Цель «Дорожной карты» – создание на муниципальном уровне многоуровневой системы профилактики социального сиротства, обеспечивающей сохранение ребенка в кровной семье, предотвращение помещения детей в стационарные учреждения и развитие семейных форм устройства детей-сирот и детей, оставшихся без попечения родителей.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Задачи «Дорожной карты»: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совершенствование нормативно-правового регулирования и межведомственного взаимодействия в сфере профилактики социального сиротства на муниципальном уровне;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развитие стационарозамещающих технологий, ориентированных на сохранение детей в семье;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развитие системы оказания помощи семьям с детьми, находящимся в трудной жизненной ситуации (ТЖС) и социально опасном положении (СОП), в том числе семьям, в которых родители или дети имеют алкогольную или наркотическую зависимость;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реализация мероприятий, способствующих сохранению семей, имеющих детей с инвалидностью и ограниченными возможностями здоровья (ОВЗ);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совершенствование организации работы с подростками группы риска;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информационно-методическое и кадровое обеспечение системы профилактики социального сиротства на муниципальном уровне.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Срок реализации «Дорожной карты» – 2026 - 2030 годы.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 План мероприятий «Дорожной карты»</w:t>
      </w:r>
    </w:p>
    <w:p>
      <w:pPr>
        <w:pStyle w:val="Normal"/>
        <w:spacing w:before="0" w:after="0"/>
        <w:ind w:firstLine="709" w:left="0"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tbl>
      <w:tblPr>
        <w:tblW w:w="15082" w:type="dxa"/>
        <w:jc w:val="left"/>
        <w:tblInd w:w="0" w:type="dxa"/>
        <w:tblLayout w:type="fixed"/>
        <w:tblCellMar>
          <w:top w:w="34" w:type="dxa"/>
          <w:left w:w="5" w:type="dxa"/>
          <w:bottom w:w="34" w:type="dxa"/>
          <w:right w:w="235" w:type="dxa"/>
        </w:tblCellMar>
      </w:tblPr>
      <w:tblGrid>
        <w:gridCol w:w="707"/>
        <w:gridCol w:w="5470"/>
        <w:gridCol w:w="2759"/>
        <w:gridCol w:w="1972"/>
        <w:gridCol w:w="4174"/>
      </w:tblGrid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п/п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Наименование мероприятия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Ответственный исполнитель*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Срок исполнения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Ожидаемый результат**</w:t>
            </w:r>
          </w:p>
        </w:tc>
      </w:tr>
      <w:tr>
        <w:trPr/>
        <w:tc>
          <w:tcPr>
            <w:tcW w:w="15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1. Совершенствование нормативного правового регулирования и межведомственного взаимодействия в сфере профилактики социального сиротства на муниципальном уровне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1.1.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6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Разработка и утверждение муниципального плана мероприятий («дорожной карты») по профилактике социального сиротства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6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Заместитель главы администрации по социальным вопросам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11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 год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Утвержден муниципальный план мероприятий по профилактике социального сиротства на 2026–2030 годы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1.2.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6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Анализ муниципальных правовых актов и локальных актов организаций и учреждений системы профилактики безнадзорности и правонарушений несовершеннолетних на предмет их соответствия с действующим в Новосибирской области законодательством и Порядками межведомственного взаимодействия, утвержденными КДНиЗП на территории Новосибирской области, регламентирующими вопросы профилактики социального сиротства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6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Органы и учреждения системы профилактики города Бердска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11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 год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В действующие на территории муниципального образования правовые акты и локальные акты учреждений систем профилактики внесены соответствующие изменения.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Arial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Определены лица, ответственные за осуществление анализа норма</w:t>
            </w:r>
          </w:p>
        </w:tc>
      </w:tr>
      <w:tr>
        <w:trPr/>
        <w:tc>
          <w:tcPr>
            <w:tcW w:w="15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2. Развитие стационарозамещающих технологий, ориентированных на сохранение детей в семье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2.1.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Открытие и развитие на базе учреждений социального обслуживания службы «Дети в семье» для работы с семьями, дети из которых помещены в стационарные учреждения или в отношении которых существует такой риск, в том числе за счет привлеченных средств из внебюджетных источников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«КЦСОН «Юнона»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Открыта и функционирует служба «Дети в семье»; увеличено число семей, получивших помощь в сохранении семейного окружения для ребёнка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2.2.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Внедрение стационарозамещающих технологий: «кризисная квартира», «социальная гостиница», «домашний помощник», «социальный патронаж», «краткосрочная передышка для родителей», в деятельность учреждений социального обслуживания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«КЦСОН «Юнона»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Расширен перечень социальных услуг для семей с детьми; увеличен охват граждан, получивших помощь с применением стационарозамещающих технологий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2.3.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Организация работы с родителями, ограниченными в родительских правах, лишёнными родительских прав, по восстановлению позитивных детско-родительских отношений и возвращению детей в семью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ООиП,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«КЦСОН «Юнона»,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КДНиЗП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Увеличено число родителей, восстановленных в родительских правах; увеличено число детей, возвращенных в кровные семьи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2.4.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Создание на базе учреждений социального обслуживания, образовательных организаций, сферы молодежной политики и культуры родительских клубов и клубов поддержки родителей с привлечением экспертов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МБУ «КЦСОН «Юнона»,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МКУ «УОиМП»,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«ОДМ»,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МКУ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«Отдел культуры»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2026–2030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Открыты по 1 родительскому клубу в каждом из указанных учреждений, не менее 50 родителей ежегодно посетили мероприятия клубов; обеспечена регулярная работа с родителями, направленная на повышение родительских компетенций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2.5.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Формирование и актуализация муниципальной карты ресурсов адресной помощи семьям с детьми (государственные учреждения, некоммерческие организации, волонтерские службы)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КДНиЗП,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администрация города,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органы системы профилактики безнадзорности и правонарушений несовершеннолетних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Сформирована и внедрена в работу органов системы профилактики карта ресурсов для оказания помощи семьям с детьми, находящимся в кризисной ситуации. Карта ресурсов размещена на сайте администрации муниципального образования и актуализируется не реже 1 раза в квартал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2.6.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Организация работы по раннему выявлению семейного неблагополучия и оказанию проактивной помощи семьям на раннем этапе кризиса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МКУ «УОиМП»,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учреждения образования,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ГБУЗ НСО «БЦГБ»,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«КЦСОН «Юнона»,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КДНиЗП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2026–2030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Увеличено число семей, получивших помощь на раннем этапе кризиса; снижено число семей, находящихся в СОП</w:t>
            </w:r>
          </w:p>
        </w:tc>
      </w:tr>
      <w:tr>
        <w:trPr/>
        <w:tc>
          <w:tcPr>
            <w:tcW w:w="15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3. Развитие системы оказания помощи семьям с алкогольной или наркотической зависимостью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3.1.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Организация взаимодействия с медицинскими организациями по вопросу оказания медицинской реабилитации родителям с алкогольной и наркотической зависимостью без разлучения с детьми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ГБУЗ НСО «БЦГБ»,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МБУ «КЦСОН «Юнона»,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КДНиЗП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Увеличен охват родителей с зависимостью, получивших специализированную помощь, от общего количества родителей, имеющих зависимость, находящихся на сопровождении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3.2.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Реализация технологии «ведения случая» в отношении семей, имеющих в своем составе лиц с зависимостями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МБУ «КЦСОН «Юнона»,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ООиП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В отношении всех семей с детьми которые, имеют зависимости, и находятся на сопровождении, реализуется карта комплексного сопровождения семьи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3.3.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Привлечение врачей-психиатров-наркологов к участию в заседаниях КДНиЗП и межведомственных консилиумах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Председатель КДНиЗП,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ГБУЗ НСО «БЦГБ»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Врачи-психиатры-наркологи участвуют в заседаниях КДНиЗП, вовлечены в работу с родителями и детьми, имеющими зависимость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3.4.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Оказание помощи лицам, прошедшим лечение от алкогольной и наркотической зависимости, в вопросах восстановления в родительских правах или отмены ограничения в родительских правах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ООиП,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«КЦСОН «Юнона»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Увеличен уровень удовлетворённости и число родителей, желающих восстановить родительские права, получающих комплексную помощь и сопровождение от общего числа родителей, прошедших лечение</w:t>
            </w:r>
          </w:p>
        </w:tc>
      </w:tr>
      <w:tr>
        <w:trPr/>
        <w:tc>
          <w:tcPr>
            <w:tcW w:w="15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4. Организация мероприятий, способствующих сохранению семей, имеющих детей с инвалидностью и ОВЗ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4.1.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Развитие полустационарных форм предоставления услуг семьям, воспитывающим детей с инвалидностью и ОВЗ (группы дневного пребывания, реабилитационные заезды для родителей с детьми)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«КЦСОН «Юнона»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Увеличение числа семей, воспитывающих детей с инвалидностью и ОВЗ, охваченных полустационарными услугами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4.2.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Организация образовательных мероприятий для родителей по вопросам развития детей с инвалидностью и ОВЗ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МБУ «КЦСОН «Юнона»,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ГБУЗ НСО «БЦГБ»,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МКУ «УОиМП»,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учреждения образования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Проведены обучающие мероприятия для родителей имеющих на иждивении детей-инвалидов и детей с ОВЗ, направленные на снижение рисков отказа от ребенка при рождении и помещения ребенка в стационарное учреждение</w:t>
            </w:r>
          </w:p>
        </w:tc>
      </w:tr>
      <w:tr>
        <w:trPr/>
        <w:tc>
          <w:tcPr>
            <w:tcW w:w="15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5. Совершенствование организации работы с подростками группы риска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5.1.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Вовлечение детей, находящихся в ТЖС или СОП, в обучение по дополнительным образовательным программам в области физической культуры и спорта, искусств, а также в культурно-досуговые мероприятия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МКУ «УОиМП»,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учреждения образования,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МКУ «Отдел культуры»,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МКУ «ОФКиС», КДНиЗП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Увеличена доля детей из числа находящихся в ТЖС или СОП, вовлеченных в организованную занятость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5.2.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Открытие и развитие подростковых центров и иных пространств для поддержки подростков в процессе их социализации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Администрация города, 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57" w:right="-113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«ОДМ»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Увеличено количество открытых подростковых центров/пространств; увеличено число подростков посещающих центры/пространства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5.3.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Проведение профильных смен и заездов для детей группы риска, детей участников СВО, совместно с общественными и волонтёрскими организациями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57" w:right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МКУ «УОиМП»,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57" w:right="-113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«ОДМ»,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МКУ «Отдел культуры»,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МКУ «ОФКиС»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КДНиЗП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Проведены профильные смены и заезды, в которых приняли участие не менее 50 несовершеннолетних ежегодно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5.4.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Совершенствование работы служб примирения в образовательных организациях по урегулированию конфликтных ситуаций, в том числе связанных с внутрисемейными конфликтами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МКУ «УОиМП»,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учреждения образования, КДНиЗП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 год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Снижено количество конфликтных ситуаций в образовательных организациях, увеличилось число ситуаций, урегулированных на ШПР</w:t>
            </w:r>
          </w:p>
        </w:tc>
      </w:tr>
      <w:tr>
        <w:trPr/>
        <w:tc>
          <w:tcPr>
            <w:tcW w:w="15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6. Информационно-методическое и кадровое обеспечение системы профилактики социального сиротства на муниципальном уровне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6.1.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11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Проведение мониторинга кадрового обеспечения сферы профилактики социального сиротства на муниципальном уровне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Администрация города,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«КЦСОН «Юнона»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Проведен мониторинг кадрового обеспечения; сформулированы предложения по его совершенствованию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6.2.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11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Определение потребности в численности специалистов, осуществляющих социальное сопровождение семей на муниципальном уровне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11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Администрация города,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«КЦСОН «Юнона»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2026–2027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Определена потребность в численности специалистов, осуществляющих социальное сопровождение семей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6.3.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11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Обучение специалистов организаций социального обслуживания и организаций (органов) для детей-сирот и детей, ОБПР, современным технологиям и практикам работы с семьёй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МБУ «КЦСОН «Юнона»,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ООиП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Увеличено число специалистов, работающих с семьями, обученных современным технологиям и практикам работы с семьей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6.4.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11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Проведение обучающих мероприятий для представителей органов и учреждений сферы образования, здравоохранения, социального обслуживания, аппаратов КДНиЗП, органов опеки и попечительства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МБУ «КЦСОН «Юнона»,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ООиП,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КДНиЗП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 год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Повышение компетентности специалистов, проведено не менее 3 мероприятий ежегодно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6.5.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Формирование муниципальной библиотеки практик поддержки семей с детьми, находящихся в ТЖС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«КЦСОН «Юнона»,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органы и учреждения системы профилактики безнадзорности и правонарушений несовершеннолетних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Муниципальная библиотека практик создана и внедрена в работу; регулярно пополняется и используется специалистами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6.6.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Популяризация в средствах массовой информации образа традиционной семьи, многодетности, семейного устройства детей-сирот и детей ОБПР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Администрация города,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«КЦСОН «Юнона»,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57" w:right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МКУ «УОиМП»,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учреждения образования,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57" w:right="-113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«ОДМ»,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МКУ «Отдел культуры»,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МКУ «ОФКиС»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КДНиЗП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СМИ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Освещено не менее 50 публикаций в СМИ и на сайтах учреждений ежегодно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6.7.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Повышение уровня социально-правовой информированности молодежи в вопросах семьи и брака, психолого-педагогической готовности к родительству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57" w:right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МКУ «УОиМП»,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учреждения образования,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57" w:right="-113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«ОДМ»,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57" w:right="-113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«ЦППМСП»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57" w:right="-113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ГБУЗ НСО «БЦГБ»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Проведено не менее 10 мероприятий  с охватом не менее 150 человек ежегодно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6.8.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Популяризация и пропаганда здорового образа жизни, диспансеризации и профилактических медицинских осмотров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ГБУЗ НСО «БЦГБ»,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57" w:right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МКУ «УОиМП»,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учреждения образования,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МБУ «ОДМ»,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МКУ «Отдел культуры»,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МКУ «ОФКиС»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2026–2030 годы</w:t>
            </w:r>
          </w:p>
        </w:tc>
        <w:tc>
          <w:tcPr>
            <w:tcW w:w="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Проведено не менее 100 мероприятий  с охватом не менее 11000 лиц ежегодно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hanging="0" w:left="0" w:right="0"/>
        <w:jc w:val="both"/>
        <w:rPr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Принятые сокращения:</w:t>
      </w:r>
    </w:p>
    <w:p>
      <w:pPr>
        <w:pStyle w:val="Style17"/>
        <w:widowControl w:val="false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en-US" w:bidi="ar-SA"/>
        </w:rPr>
        <w:t>КДНиЗП - комиссия по делам несовершеннолетних и защите их прав города Бердска;</w:t>
      </w:r>
    </w:p>
    <w:p>
      <w:pPr>
        <w:pStyle w:val="Style17"/>
        <w:widowControl w:val="false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en-US" w:bidi="ar-SA"/>
        </w:rPr>
        <w:t>ГБУЗ НСО «БЦГБ» - государственное бюджетное учреждение здравоохранения Новосибирской области «Бердская центральная городская больница»;</w:t>
      </w:r>
    </w:p>
    <w:p>
      <w:pPr>
        <w:pStyle w:val="Style17"/>
        <w:widowControl w:val="false"/>
        <w:spacing w:lineRule="auto" w:line="240" w:before="0" w:after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en-US" w:bidi="ar-SA"/>
        </w:rPr>
        <w:t>МКУ «УОиМП» - м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униципальное казенное учреждение «Управление образования и молодежной политики»;</w:t>
      </w:r>
    </w:p>
    <w:p>
      <w:pPr>
        <w:pStyle w:val="Style17"/>
        <w:widowControl w:val="false"/>
        <w:spacing w:lineRule="auto" w:line="240" w:before="0" w:after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МБУ «КЦСОН «Юнона» - муниципальное бюджетное учреждение «Комплексный центр социального обслуживания населения «Юнона»;</w:t>
      </w:r>
    </w:p>
    <w:p>
      <w:pPr>
        <w:pStyle w:val="Style17"/>
        <w:widowControl w:val="false"/>
        <w:spacing w:lineRule="auto" w:line="240" w:before="0" w:after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МБУ «ОДМ» - муниципальное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en-US" w:eastAsia="ru-RU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бюджетное учреждение «Отдел по делам молодежи»;</w:t>
      </w:r>
    </w:p>
    <w:p>
      <w:pPr>
        <w:pStyle w:val="Style17"/>
        <w:widowControl w:val="false"/>
        <w:spacing w:lineRule="auto" w:line="240" w:before="0" w:after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МКУ «ОФКиС» - муниципальное казенное учреждение «Отдел физической культуры и спорта»;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0" w:right="-113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en-US" w:bidi="ar-SA"/>
        </w:rPr>
        <w:t>МБУ «ЦППМСП» - м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униципальное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en-US" w:eastAsia="ru-RU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бюджетное учреждение «Центр психологической, педагогической, медицинской и социальной помощи»;</w:t>
      </w:r>
    </w:p>
    <w:p>
      <w:pPr>
        <w:pStyle w:val="Style17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МКУ «Отдел культуры» - муниципальное казенное учреждение «Отдел культуры  г. Бердска»;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en-US" w:bidi="ar-SA"/>
        </w:rPr>
        <w:t>ООиП - о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8"/>
          <w:szCs w:val="28"/>
          <w:lang w:val="ru-RU" w:eastAsia="ru-RU" w:bidi="ar-SA"/>
        </w:rPr>
        <w:t>тдел опеки и попечительства администрации города Бердска.</w:t>
      </w:r>
    </w:p>
    <w:p>
      <w:pPr>
        <w:pStyle w:val="Normal"/>
        <w:spacing w:lineRule="auto" w:line="240" w:before="57" w:after="57"/>
        <w:ind w:firstLine="709" w:left="0" w:righ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57" w:after="57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 Управление реализацией выполнения мероприятий «Дорожной карты».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Организация и обеспечение мониторинга реализации муниципальной «Дорожной карты» возлагается на заместителя главы администрации города Бердска по социальным вопросам.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Отчет о ходе реализации «Дорожной карты» представляется ответственными исполнителями до 10 июля (за истекшее полугодие) и до 20 января (за истекший год), в отдел обеспечения деятельности комиссии по делам несовершеннолетних и защите их прав администрации города Бердска.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Отчет о ходе реализации «Дорожной карты» представляется ежегодно до 1 февраля года, следующего за отчётным, в министерство труда и социального развития Новосибирской области. Ответственное лицо за отправку отчета — начальник отдела обеспечения деятельности комиссии по делам несовершеннолетних и защите их прав администрации города Бердска.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Корректировка «Дорожной карты» осуществляется по мере необходимости на основании результатов мониторинга и с учетом изменений федерального и регионального законодательства.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 Целевые показатели реализации «Дорожной карты».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tbl>
      <w:tblPr>
        <w:tblW w:w="15162" w:type="dxa"/>
        <w:jc w:val="left"/>
        <w:tblInd w:w="0" w:type="dxa"/>
        <w:tblLayout w:type="fixed"/>
        <w:tblCellMar>
          <w:top w:w="34" w:type="dxa"/>
          <w:left w:w="5" w:type="dxa"/>
          <w:bottom w:w="34" w:type="dxa"/>
          <w:right w:w="235" w:type="dxa"/>
        </w:tblCellMar>
      </w:tblPr>
      <w:tblGrid>
        <w:gridCol w:w="709"/>
        <w:gridCol w:w="7790"/>
        <w:gridCol w:w="993"/>
        <w:gridCol w:w="1136"/>
        <w:gridCol w:w="1134"/>
        <w:gridCol w:w="1133"/>
        <w:gridCol w:w="1134"/>
        <w:gridCol w:w="1131"/>
      </w:tblGrid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п/п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Ед. изм.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2029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2030</w:t>
            </w:r>
          </w:p>
        </w:tc>
      </w:tr>
      <w:tr>
        <w:trPr/>
        <w:tc>
          <w:tcPr>
            <w:tcW w:w="151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1. Совершенствование нормативного правового регулирования и межведомственного взаимодействия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1.1.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Наличие утвержденной муниципальной «Дорожной карты» по профилактике социального сиротства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+/-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+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+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+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1.2.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Наличие межведомственного консилиума, где обсуждается вопрос по обоснованности пребывания детей в стационарных учреждениях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+/-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+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+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+</w:t>
            </w:r>
          </w:p>
        </w:tc>
      </w:tr>
      <w:tr>
        <w:trPr/>
        <w:tc>
          <w:tcPr>
            <w:tcW w:w="151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2. Развитие стационарозамещающих технологий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2.1.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Количество открытых служб «Дети в семье»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ед.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2.2.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Количество внедрённых стационарозамещающих технологий (кризисная квартира, социальная гостиная и др.)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ед.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2.3.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Число детей, возвращенных в кровные семьи из стационарных учреждений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чел.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10</w:t>
            </w:r>
          </w:p>
        </w:tc>
      </w:tr>
      <w:tr>
        <w:trPr/>
        <w:tc>
          <w:tcPr>
            <w:tcW w:w="151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3. Развитие системы оказания помощи семьям с зависимостями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3.1.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Доля родителей с алкогольной или наркотической зависимостью, находящихся в ремиссии более 1 года, от общего числа родителей с зависимостью, состоящих под диспансерным наблюдением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%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16,5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17,2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17,5</w:t>
            </w:r>
          </w:p>
        </w:tc>
      </w:tr>
      <w:tr>
        <w:trPr/>
        <w:tc>
          <w:tcPr>
            <w:tcW w:w="151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4. Сохранение семей, имеющих детей с инвалидностью и ОВЗ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4.1.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Доля детей с инвалидностью и ОВЗ, переданных под надзор в организации для детей-сирот и детей ОБПР, от общего числа детей с ОВЗ и инвалидностью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%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0,8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0,6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0,5</w:t>
            </w:r>
          </w:p>
        </w:tc>
      </w:tr>
      <w:tr>
        <w:trPr/>
        <w:tc>
          <w:tcPr>
            <w:tcW w:w="151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5. Организация работы с подростками группы риска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5.1.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Доля детей в возрасте от 10 до 17 лет включительно, состоящих на различных видах учета, от общей численности данной возрастной категории несовершеннолетних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%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0,9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0,7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0,6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5.2.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Количество открытых подростковых центров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ед.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</w:tr>
      <w:tr>
        <w:trPr/>
        <w:tc>
          <w:tcPr>
            <w:tcW w:w="151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6. Информационно-методическое и кадровое обеспечение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6.1.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Доля специалистов организаций для детей-сирот и детей ОБПР и социального обслуживания, прошедших профессиональную переподготовку или повышение квалификации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%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92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94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96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6.2.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Количество проведённых обучающих мероприятий для специалистов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57"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0F1115"/>
                <w:kern w:val="0"/>
                <w:sz w:val="28"/>
                <w:szCs w:val="28"/>
                <w:lang w:val="ru-RU" w:eastAsia="en-US" w:bidi="ar-SA"/>
              </w:rPr>
              <w:t>ед.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4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Arial" w:cs="Arial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6</w:t>
            </w:r>
          </w:p>
        </w:tc>
      </w:tr>
    </w:tbl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5. Основные показатели для мониторинга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 целях осуществления мониторинга реализации «Дорожной карты» рекомендуется вести учет следующих показателей: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число детей в возрасте от 0 до 18 лет, находящихся на круглосуточном стационарном пребывании в специализированных учреждениях для несовершеннолетних, нуждающихся в социальной реабилитации, а также в организациях для детей-сирот и детей ОБПР;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число детей-сирот и детей ОБПР, переданных на семейные формы устройства;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число детей, возвращенных в кровную семью из стационарных учреждений;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число детей, в отношении которых родители лишены родительских прав в течение года;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число родителей, восстановленных в родительских правах;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количество семей, находящихся в ТЖС и СОП;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количество созданных на муниципальном уровне мобильных бригад;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количество проведенных заседаний межведомственного консилиума;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количество специалистов по работе с семьёй, прошедших обучение технологиям и практикам работы с семьей;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количество проведенных информационных мероприятий (кампаний), направленных на формирование положительного имиджа семьи и сохранение семейного устройства.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</w:t>
      </w:r>
      <w:r>
        <w:rPr>
          <w:rFonts w:cs="Times New Roman" w:ascii="Times New Roman" w:hAnsi="Times New Roman"/>
          <w:color w:val="000000"/>
          <w:sz w:val="28"/>
          <w:szCs w:val="28"/>
        </w:rPr>
        <w:t>_______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orient="landscape" w:w="16838" w:h="11906"/>
      <w:pgMar w:left="1134" w:right="568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Arial" w:hAnsi="Arial" w:eastAsia="Arial" w:cs="Arial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>
    <w:name w:val="Heading 9"/>
    <w:basedOn w:val="Normal"/>
    <w:next w:val="Normal"/>
    <w:link w:val="9"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>
    <w:name w:val="Default Paragraph Font"/>
    <w:qFormat/>
    <w:rPr/>
  </w:style>
  <w:style w:type="character" w:styleId="1">
    <w:name w:val="Заголовок 1 Знак"/>
    <w:qFormat/>
    <w:rPr>
      <w:rFonts w:ascii="Arial" w:hAnsi="Arial" w:eastAsia="Arial" w:cs="Arial"/>
      <w:sz w:val="40"/>
      <w:szCs w:val="40"/>
    </w:rPr>
  </w:style>
  <w:style w:type="character" w:styleId="2">
    <w:name w:val="Заголовок 2 Знак"/>
    <w:qFormat/>
    <w:rPr>
      <w:rFonts w:ascii="Arial" w:hAnsi="Arial" w:eastAsia="Arial" w:cs="Arial"/>
      <w:sz w:val="34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Style5">
    <w:name w:val="Название Знак"/>
    <w:qFormat/>
    <w:rPr>
      <w:sz w:val="48"/>
      <w:szCs w:val="48"/>
    </w:rPr>
  </w:style>
  <w:style w:type="character" w:styleId="Style6">
    <w:name w:val="Подзаголовок Знак"/>
    <w:qFormat/>
    <w:rPr>
      <w:sz w:val="24"/>
      <w:szCs w:val="24"/>
    </w:rPr>
  </w:style>
  <w:style w:type="character" w:styleId="21">
    <w:name w:val="Цитата 2 Знак"/>
    <w:link w:val="Quote"/>
    <w:qFormat/>
    <w:rPr>
      <w:i/>
    </w:rPr>
  </w:style>
  <w:style w:type="character" w:styleId="Style7">
    <w:name w:val="Выделенная цитата Знак"/>
    <w:link w:val="IntenseQuote"/>
    <w:qFormat/>
    <w:rPr>
      <w:i/>
    </w:rPr>
  </w:style>
  <w:style w:type="character" w:styleId="Style8">
    <w:name w:val="Верхний колонтитул Знак"/>
    <w:qFormat/>
    <w:rPr/>
  </w:style>
  <w:style w:type="character" w:styleId="FooterChar">
    <w:name w:val="Footer Char"/>
    <w:qFormat/>
    <w:rPr/>
  </w:style>
  <w:style w:type="character" w:styleId="Style9">
    <w:name w:val="Нижний колонтитул Знак"/>
    <w:qFormat/>
    <w:rPr/>
  </w:style>
  <w:style w:type="character" w:styleId="InternetLink">
    <w:name w:val="Internet Link"/>
    <w:qFormat/>
    <w:rPr>
      <w:color w:val="0563C1"/>
      <w:u w:val="single"/>
    </w:rPr>
  </w:style>
  <w:style w:type="character" w:styleId="Style10">
    <w:name w:val="Текст сноски Знак"/>
    <w:qFormat/>
    <w:rPr>
      <w:sz w:val="18"/>
    </w:rPr>
  </w:style>
  <w:style w:type="character" w:styleId="Style1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Style12">
    <w:name w:val="Текст концевой сноски Знак"/>
    <w:qFormat/>
    <w:rPr>
      <w:sz w:val="20"/>
    </w:rPr>
  </w:style>
  <w:style w:type="character" w:styleId="Style13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next w:val="Normal"/>
    <w:qFormat/>
    <w:pPr/>
    <w:rPr>
      <w:b/>
      <w:bCs/>
      <w:color w:val="5B9BD5"/>
      <w:sz w:val="18"/>
      <w:szCs w:val="18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Style5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6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qFormat/>
    <w:pPr>
      <w:ind w:hanging="0" w:left="720" w:right="720"/>
    </w:pPr>
    <w:rPr>
      <w:i/>
    </w:rPr>
  </w:style>
  <w:style w:type="paragraph" w:styleId="IntenseQuote">
    <w:name w:val="Intense Quote"/>
    <w:basedOn w:val="Normal"/>
    <w:next w:val="Normal"/>
    <w:link w:val="Style7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fill="F2F2F2"/>
      <w:ind w:hanging="0" w:left="720" w:right="720"/>
    </w:pPr>
    <w:rPr>
      <w:i/>
    </w:rPr>
  </w:style>
  <w:style w:type="paragraph" w:styleId="Style16">
    <w:name w:val="Колонтитул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8"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9"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Style10"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Style12"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pPr>
      <w:spacing w:before="0" w:after="57"/>
    </w:pPr>
    <w:rPr/>
  </w:style>
  <w:style w:type="paragraph" w:styleId="TOC2">
    <w:name w:val="TOC 2"/>
    <w:basedOn w:val="Normal"/>
    <w:next w:val="Normal"/>
    <w:pPr>
      <w:spacing w:before="0" w:after="57"/>
      <w:ind w:hanging="0" w:left="283" w:right="0"/>
    </w:pPr>
    <w:rPr/>
  </w:style>
  <w:style w:type="paragraph" w:styleId="TOC3">
    <w:name w:val="TOC 3"/>
    <w:basedOn w:val="Normal"/>
    <w:next w:val="Normal"/>
    <w:pPr>
      <w:spacing w:before="0" w:after="57"/>
      <w:ind w:hanging="0" w:left="567" w:right="0"/>
    </w:pPr>
    <w:rPr/>
  </w:style>
  <w:style w:type="paragraph" w:styleId="TOC4">
    <w:name w:val="TOC 4"/>
    <w:basedOn w:val="Normal"/>
    <w:next w:val="Normal"/>
    <w:pPr>
      <w:spacing w:before="0" w:after="57"/>
      <w:ind w:hanging="0" w:left="850" w:right="0"/>
    </w:pPr>
    <w:rPr/>
  </w:style>
  <w:style w:type="paragraph" w:styleId="TOC5">
    <w:name w:val="TOC 5"/>
    <w:basedOn w:val="Normal"/>
    <w:next w:val="Normal"/>
    <w:pPr>
      <w:spacing w:before="0" w:after="57"/>
      <w:ind w:hanging="0" w:left="1134" w:right="0"/>
    </w:pPr>
    <w:rPr/>
  </w:style>
  <w:style w:type="paragraph" w:styleId="TOC6">
    <w:name w:val="TOC 6"/>
    <w:basedOn w:val="Normal"/>
    <w:next w:val="Normal"/>
    <w:pPr>
      <w:spacing w:before="0" w:after="57"/>
      <w:ind w:hanging="0" w:left="1417" w:right="0"/>
    </w:pPr>
    <w:rPr/>
  </w:style>
  <w:style w:type="paragraph" w:styleId="TOC7">
    <w:name w:val="TOC 7"/>
    <w:basedOn w:val="Normal"/>
    <w:next w:val="Normal"/>
    <w:pPr>
      <w:spacing w:before="0" w:after="57"/>
      <w:ind w:hanging="0" w:left="1701" w:right="0"/>
    </w:pPr>
    <w:rPr/>
  </w:style>
  <w:style w:type="paragraph" w:styleId="TOC8">
    <w:name w:val="TOC 8"/>
    <w:basedOn w:val="Normal"/>
    <w:next w:val="Normal"/>
    <w:pPr>
      <w:spacing w:before="0" w:after="57"/>
      <w:ind w:hanging="0" w:left="1984" w:right="0"/>
    </w:pPr>
    <w:rPr/>
  </w:style>
  <w:style w:type="paragraph" w:styleId="TOC9">
    <w:name w:val="TOC 9"/>
    <w:basedOn w:val="Normal"/>
    <w:next w:val="Normal"/>
    <w:pPr>
      <w:spacing w:before="0" w:after="57"/>
      <w:ind w:hanging="0" w:left="2268" w:right="0"/>
    </w:pPr>
    <w:rPr/>
  </w:style>
  <w:style w:type="paragraph" w:styleId="IndexHeading">
    <w:name w:val="Index Heading"/>
    <w:basedOn w:val="Style14"/>
    <w:pPr/>
    <w:rPr/>
  </w:style>
  <w:style w:type="paragraph" w:styleId="TOCHeading">
    <w:name w:val="TOC Heading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Arial" w:hAnsi="Arial" w:eastAsia="Arial" w:cs="Arial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qFormat/>
    <w:pPr>
      <w:spacing w:before="0" w:after="0"/>
    </w:pPr>
    <w:rPr/>
  </w:style>
  <w:style w:type="paragraph" w:styleId="NoSpacing">
    <w:name w:val="No Spacing"/>
    <w:basedOn w:val="Normal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Application>LibreOffice/24.2.6.2$Linux_X86_64 LibreOffice_project/420$Build-2</Application>
  <AppVersion>15.0000</AppVersion>
  <Pages>13</Pages>
  <Words>2422</Words>
  <Characters>16932</Characters>
  <CharactersWithSpaces>19392</CharactersWithSpaces>
  <Paragraphs>372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2026-07-21T07:27:00Z</dcterms:created>
  <dc:creator/>
  <dc:description/>
  <dc:language>ru-RU</dc:language>
  <cp:lastModifiedBy/>
  <cp:lastPrinted>2026-07-30T14:46:13Z</cp:lastPrinted>
  <dcterms:modified xsi:type="dcterms:W3CDTF">2026-07-30T14:46:41Z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