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0"/>
          <w:lang w:eastAsia="ru-RU"/>
        </w:rPr>
        <w:t>АДМИНИСТРАЦИЯ ГОРОДА БЕРДСКА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pacing w:val="52"/>
          <w:sz w:val="36"/>
          <w:szCs w:val="20"/>
          <w:lang w:eastAsia="ru-RU"/>
        </w:rPr>
      </w:pPr>
      <w:r>
        <w:rPr>
          <w:rFonts w:eastAsia="Times New Roman" w:ascii="Times New Roman" w:hAnsi="Times New Roman"/>
          <w:b/>
          <w:spacing w:val="52"/>
          <w:sz w:val="36"/>
          <w:szCs w:val="2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pacing w:val="52"/>
          <w:sz w:val="36"/>
          <w:szCs w:val="20"/>
          <w:lang w:eastAsia="ru-RU"/>
        </w:rPr>
      </w:pPr>
      <w:r>
        <w:rPr>
          <w:rFonts w:eastAsia="Times New Roman" w:ascii="Times New Roman" w:hAnsi="Times New Roman"/>
          <w:spacing w:val="52"/>
          <w:sz w:val="36"/>
          <w:szCs w:val="20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01.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04.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2025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1040/65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результатах конкурса на предоставление грантов в форме субсидий 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из бюджета города Бердска на реализацию социально значимых проектов, 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выполняемых социально ориентированными некоммерческими организациями города Бердска в 2025 году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firstLine="720"/>
        <w:rPr>
          <w:rFonts w:ascii="Times New Roman" w:hAnsi="Times New Roman"/>
        </w:rPr>
      </w:pPr>
      <w:r>
        <w:rPr/>
        <w:t>Во исполнение муниципальной программы «Бердск — территория гражданской ответственности: поддержка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Бердска», утвержденной постановлением администрации города Бердска от 01.12.2023 № 5640/65, в соответствии с Порядком предоставления грантов в форме субсидий из бюджета города Бердска на реализацию социально значимых проектов, выполняемых социально ориентированными некоммерческими организациями, утвержденным постановлением администрации города Бердска от 13.08.2021 № 2478, на основании протокола конкурсной комиссии по рассмотрению заявлений на предоставление грантов на реализацию социально значимых проектов, выполняемых социально ориентированными некоммерческими организациями города Бердска в 2025 году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1. Утвердить список организаций — грантополучателей конкурса на предоставление грантов в форме субсидий из бюджета города Бердска на реализацию социально значимых проектов, выполняемых социально ориентированными некоммерческими организациями города Бердска в 2025 году (далее – список победителей конкурса) согласно приложению к постановлению.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 xml:space="preserve">2. Начальнику отдела общественных связей администрации Кичайкиной </w:t>
        <w:br/>
        <w:t>С. С.: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1) в течение пяти календарных дней со дня подписания постановления обеспечить размещение единого рейтинга участников в соответствии с последовательностью оценки заявок участников отбора на основании результатов оценки конкурсной комиссии и списка проектов победителей конкурса социально значимых проектов в открытом доступе информационно-телекоммуникационной сети «Интернет» на едином портале бюджетной системы Российской Федерации и на официальном сайте администрации города Бердска;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2) в течение 10 рабочих дней со дня размещения информации о результатах конкурса в открытом доступе информационно-телекоммуникационной сети «Интернет» на едином портале бюджетной системы Российской Федерации и на официальном сайте администрации города Бердска организовать заключение соглашений о предоставлении гранта с руководителями организаций, чьи проекты стали победителями конкурса социально значимых проектов;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3) обеспечить контроль за целевым использованием гранта, за фактом выполнения мероприятий по использованию гранта, за сроками предоставления отчета о результатах реализации гранта в соответствии с календарным планом проекта, за сроками предоставления финансового отчета.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3. Заместителю главы администрации по финансам и налоговой политике — начальнику управления финансов и налоговой политики Малышевой Е. В. обеспечить финансирование администрации города Бердска на реализацию мероприятий муниципальной программы «Бердск — территория гражданской ответственности: поддержка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 в пределах, утвержденных в бюджете города Бердска бюджетных ассигнований на указанные цели в 2025 году.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4. Начальнику отдела контрактной службы, учета и отчетности администрации Шункаровой И. В. обеспечить перечисление денежных средств на реквизиты победителей конкурса социально значимых проектов, указанных в соглашениях о предоставлении гранта.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5.Опубликовать настоящее постановление в печатном издании «Официальный вестник органов местного самоуправления города Бердска «Вестник. Бердск», сетевом издании «Вестник-Бердск» и разместить на официальном сайте администрации города Бердска.</w:t>
      </w:r>
    </w:p>
    <w:p>
      <w:pPr>
        <w:pStyle w:val="BodyText"/>
        <w:ind w:firstLine="720"/>
        <w:rPr>
          <w:rFonts w:ascii="Times New Roman" w:hAnsi="Times New Roman"/>
        </w:rPr>
      </w:pPr>
      <w:r>
        <w:rPr>
          <w:szCs w:val="28"/>
        </w:rPr>
        <w:t>6. Контроль за исполнением постановления возложить на управляющего делами администрации Крестьянову Н. А.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jc w:val="left"/>
        <w:rPr>
          <w:rFonts w:ascii="Times New Roman" w:hAnsi="Times New Roman"/>
        </w:rPr>
      </w:pPr>
      <w:r>
        <w:rPr>
          <w:szCs w:val="28"/>
        </w:rPr>
        <w:t>Глава города Бердска                                                                            С.Ю. Лапицкий</w:t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hanging="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ind w:firstLine="720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BodyText"/>
        <w:widowControl/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</w:rPr>
      </w:pPr>
      <w:r>
        <w:rPr>
          <w:sz w:val="20"/>
          <w:szCs w:val="20"/>
        </w:rPr>
        <w:t>С.С. Кичайкина</w:t>
      </w:r>
    </w:p>
    <w:p>
      <w:pPr>
        <w:pStyle w:val="BodyText"/>
        <w:widowControl/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</w:rPr>
      </w:pPr>
      <w:r>
        <w:rPr>
          <w:sz w:val="20"/>
          <w:szCs w:val="20"/>
        </w:rPr>
        <w:t>3-02-42</w:t>
      </w:r>
    </w:p>
    <w:p>
      <w:pPr>
        <w:pStyle w:val="BodyText"/>
        <w:rPr>
          <w:rFonts w:ascii="Times New Roman" w:hAnsi="Times New Roman"/>
        </w:rPr>
      </w:pPr>
      <w:r>
        <w:rPr>
          <w:sz w:val="20"/>
        </w:rPr>
        <w:t>В.Д. Родак</w:t>
      </w:r>
    </w:p>
    <w:p>
      <w:pPr>
        <w:pStyle w:val="BodyText"/>
        <w:rPr>
          <w:rFonts w:ascii="Times New Roman" w:hAnsi="Times New Roman"/>
        </w:rPr>
      </w:pPr>
      <w:r>
        <w:rPr>
          <w:sz w:val="20"/>
        </w:rPr>
        <w:t>2-21-05</w:t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2704"/>
        <w:gridCol w:w="3911"/>
      </w:tblGrid>
      <w:tr>
        <w:trPr/>
        <w:tc>
          <w:tcPr>
            <w:tcW w:w="3307" w:type="dxa"/>
            <w:tcBorders/>
          </w:tcPr>
          <w:p>
            <w:pPr>
              <w:pStyle w:val="Style23"/>
              <w:pageBreakBefore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704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911" w:type="dxa"/>
            <w:tcBorders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  <w:br/>
              <w:t>к постановлению администрации</w:t>
              <w:br/>
              <w:t>города Бердска от_________№_______</w:t>
            </w:r>
          </w:p>
        </w:tc>
      </w:tr>
    </w:tbl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конкурса</w:t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46" w:type="dxa"/>
        <w:jc w:val="left"/>
        <w:tblInd w:w="-3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1"/>
        <w:gridCol w:w="2612"/>
        <w:gridCol w:w="2496"/>
        <w:gridCol w:w="2600"/>
        <w:gridCol w:w="2217"/>
      </w:tblGrid>
      <w:tr>
        <w:trPr>
          <w:trHeight w:val="791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проекта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организации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Краткое описание проекта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 гранта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«Наследники победы»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Региональная общественная организация НСО по развитию гражданско-патриотического общества и помощи ветеранам и членам их семей «Ветераны Бердской бригады»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направлен на патриотическое воспитание молодежи и укрепление уважения к ветеранам через проведение показательных выступлений и демонстрацию военных навыков. Проект предполагает организацию мероприятий, приуроченных к 80-летию Победы над фашистской Германией. Показательные выступления, запланированные на 9 мая 2025 года, пройдут на площади им. М. Горького.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135 250,00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патриотический арт-фестиваль — «Под Бердской звездой»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Бердский центр военно-спортивных игр «Аванпост»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патриотический арт-фестиваль «Под бердской звездой» в Бердске направлен на восстановление исторической памяти и укрепление патриотизма. Фестиваль пройдет в формате открытых площадок с мастер-классами, художественными занятиями, выставками и живой музыкой. Особое внимание уделяется молодежи, а также связи прошлого с настоящим через дискуссии и лекции.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«Памяти павших будем достойны!»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Бердская Городская Общественная организация «По содействию и развитию Лицея №7»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предлагает создать дизайн-проект и изготовить экипировку для участников ВПК «Вега-7» из Лицея №7. Экипировка предназначена для 50 воспитанников и будет включать комплекты одежды для различных мероприятий. Это поможет сформировать патриотизм и уважение к военной профессии, сплотить участников и повысить их мотивацию.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Установка мемориальной доски, посвященной вкладу Бердска в Победу в Великой Отечественной войне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предполагает установку мемориальной доски с информацией о событиях Великой Отечественной войны на территории Бердска, включая железнодорожную станцию. До её установки к 7 мая 2025 года разместят баннер с эскизом. Открытие запланировано на 4 сентября 2025 года. Проект сопровождается информационной кампанией и созданием аудиогида на платформе «izi.TRAVEL».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«Читаем вместе о войне»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предполагает организацию «громких чтений» стихотворений о Великой Отечественной войне в поселке Новый г. Бердска в преддверии значимых дат: 8 мая, 22 июня и Дня поселка Новый. Участники получат Георгиевские ленты и значки с символикой 80-летия Победы, а затем прочтут заранее подготовленные стихотворения. На площади установят шатер с книжной выставкой и баннеры для фотографий.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47 437,00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Ветераны БЭМЗ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2025 году Совет ветеранов Бердского электромеханического завода отметит 35-летие. Организация объединяет бывших работников завода, став примером активного служения идеалам добра и человечности. В юбилейный год планируется проведение торжественного мероприятия, посвящённого деятельности ветеранского движения и чествование активистов Совета.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Фестиваль спортивных игр для инвалидов по слуху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по социальной поддержке людей с ограниченными возможностями «Мир глухих»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включает проведение фестиваля спортивных игр для семей глухих жителей с детьми, направленный на расширение кругозора, развитие познавательности и коммуникативных навыков. Фестиваль приурочен к XXV туристическому слёту и планирует собрать около 15 местных отделений Всероссийского общества глухих Новосибирской области на территории лагеря «Юность».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Городской фестиваль «Мы — будущие избиратели России»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Благотворительный фонд «Дети — наше будущее»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Фестиваль рассчитан на учащихся 10-11 классов и студентов колледжей. Отборочные игры включают конкурсы визиток, агитационных плакатов и конкурс капитанов. В финал выходят шесть лучших команд, которые представят театрализованное выступление. Победителя определит деловая игра «Выборы», где участвуют все команды, руководители и гости. Конкурс направлен на формирование активной гражданской позиции и понимания работы избирательных комиссий.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«Наша Победа»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«Наша Победа» предполагает выпуск трёх спецвыпусков газеты «Бердские новости» (по 2300 экз.) в честь юбилея Победы. Цель — освещение деятельности Городской ветеранской организации по поддержке ветеранов и патриотическому воспитанию молодёжи. Газета регулярно поставляется ветеранам (300 экз.), помогая им оставаться в курсе событий города.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149 000,00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Седьмой городской слет-фестиваль «Семейный круг-7»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«Союз женщин города Бердска»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Городской Слет-фестиваль «Семейный круг-7» привлечет семьи города Бердска из разных социальных слоев для участия в творческом процессе, который направлен на укрепление семейных ценностей, отношений, развитие личности ребенка. Фестиваль планируется в преддверии праздничной даты День любви и верности — 05 июля, что позволит усилить его значимость.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«Легенды парка»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предусматривает размещение в городском парке культуры и отдыха двух стендов с информацией об арт-объектах, размещенных в парке. А также приобретение двух усилителей голоса для проведения экскурсий. В рамках проекта будут проведены 3 экскурсии с игровыми программами. Проект поможет людям, которые посещают городской парк культуры и отдыха, разнообразить досуг, и сделать посещение парка более интересным и увлекательным.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113 024,00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«Территория добра»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Благотворительный фонд «Добро»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направлен на организацию летнего досуга для семей с детьми особых категорий. Актуальным остаётся вопрос повышения уровня поддержки семей с детьми, участвующими в СВО. В летний сезон планируется проведение 3 досуговых смен, для которых будет обучено 20 волонтеров, ответственных за программу и содержание семейного отдыха.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150 000,00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«Великие сражения на игровом поле»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нацелен на создание образовательной среды для подростков посредством настольных игр. В рамках проекта библиотека №5 приобретёт 5 настольных игр, посвящённых событиям Великой Отечественной войны и другим военным событиям. Игротека будет доступна для всех желающих, а по субботам проводятся семейные игровые сессии.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25 650,00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Сенсорная комната «Равновесие»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МБОУ СОШ №5 обучается 80 детей с ОВЗ и около 120 нуждающихся в дополнительной помощи. Для комплексной коррекционной работы планируется создание сенсорной комнаты на базе кабинета психолога. Требуется оборудование, предназначенное для стабилизации эмоционального состояния, стимуляции сенсорного восприятия, повышения концентрации и управления вниманием, профилактики переутомления.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99 823,00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«Победное платье наших бабушек»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Местная общественная организация «Объединение деятелей культуры города Бердска»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направлен на сохранение и передачу исторического наследия через создание 12 уникальных реплик платьев, которые носили женщины во время Великой Отечественной войны. Проект включает этапы исследований, образовательные мероприятия и демонстрации готовых экспонатов на передвижной выставке. Готовые копии будут переданы в фонд Бердского историко-художественного музея.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149 920,00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«Подари улыбку миру»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Автономная некоммерческая организация «Ресурсный центр поддержки некоммерческих организаций и общественных инициатив «Инициатива»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 нацелен на патриотическое воспитание детей из неблагополучных и многодетных семей. Планируется обустроить пространство для подростков и игровую зону для детей 3-10 лет с родителями. В рамках проекта предусмотрено проведение 45 мероприятий, включая кинопоказы фильмов о космосе, патриотике, безопасности, встречу с пожарными, уроки ПДД и праздничные программы.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79 896,00</w:t>
            </w:r>
          </w:p>
        </w:tc>
      </w:tr>
    </w:tbl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Общий протокол конкурса на предоставление грантов в форме субсидий из бюджета города Бердска на реализацию социально значимых проектов, выполняемых социально ориентированными некоммерческими организациями города Бердска в 2025 году</w:t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46" w:type="dxa"/>
        <w:jc w:val="left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5"/>
        <w:gridCol w:w="1651"/>
        <w:gridCol w:w="623"/>
        <w:gridCol w:w="621"/>
        <w:gridCol w:w="564"/>
        <w:gridCol w:w="564"/>
        <w:gridCol w:w="621"/>
        <w:gridCol w:w="524"/>
        <w:gridCol w:w="565"/>
        <w:gridCol w:w="507"/>
        <w:gridCol w:w="565"/>
        <w:gridCol w:w="567"/>
        <w:gridCol w:w="508"/>
        <w:gridCol w:w="564"/>
        <w:gridCol w:w="805"/>
        <w:gridCol w:w="899"/>
      </w:tblGrid>
      <w:tr>
        <w:trPr>
          <w:trHeight w:val="1506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член комиссии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eastAsianLayout w:vert="true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Запрашиваемая сумма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eastAsianLayout w:vert="true"/>
              </w:rPr>
            </w:pPr>
            <w:r>
              <w:rPr>
                <w:rFonts w:ascii="Times New Roman" w:hAnsi="Times New Roman"/>
                <w:sz w:val="24"/>
                <w:szCs w:val="24"/>
                <w:eastAsianLayout w:vert="true"/>
              </w:rPr>
              <w:t>Решение конкурсной комиссии</w:t>
            </w:r>
          </w:p>
        </w:tc>
      </w:tr>
      <w:tr>
        <w:trPr>
          <w:trHeight w:val="55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«Наследники победы»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148 250,00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135 250,00</w:t>
            </w:r>
          </w:p>
        </w:tc>
      </w:tr>
      <w:tr>
        <w:trPr>
          <w:trHeight w:val="1879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I патриотический арт-фестиваль «Под Бердской звездой»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174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«Памяти павших будем достойны!»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267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Установка мемориальной доски, посвященной вкладу Бердска в Победу в Великой Отечественной войне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168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819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«Читаем вместе о войне»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47 437,00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47 437,00</w:t>
            </w:r>
          </w:p>
        </w:tc>
      </w:tr>
      <w:tr>
        <w:trPr>
          <w:trHeight w:val="55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Ветераны БЭМЗ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1349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Фестиваль спортивных игр для инвалидов по слуху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161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Городской фестиваль «Мы — будущие избиратели России»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55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«Наша Победа»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149 000,00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149 000,00</w:t>
            </w:r>
          </w:p>
        </w:tc>
      </w:tr>
      <w:tr>
        <w:trPr>
          <w:trHeight w:val="161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Седьмой городской слет-фестиваль «Семейный круг-7»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55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«Легенды парка»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113 024,00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113 024,00</w:t>
            </w:r>
          </w:p>
        </w:tc>
      </w:tr>
      <w:tr>
        <w:trPr>
          <w:trHeight w:val="55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«Территория добра»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150 000,00</w:t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«Великие сражения на игровом поле»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25 650,00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25 650,00</w:t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Сенсорная комната «Равновесие»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99 823,00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99 823,00</w:t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«Победное платье наших бабушек»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149 920,00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149 920,00</w:t>
            </w:r>
          </w:p>
        </w:tc>
      </w:tr>
      <w:tr>
        <w:trPr>
          <w:trHeight w:val="819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«Подари улыбку миру»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149 244,00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79 896,00</w:t>
            </w:r>
          </w:p>
        </w:tc>
      </w:tr>
      <w:tr>
        <w:trPr>
          <w:trHeight w:val="813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Сборник «От сердца к сердцу»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Чирлидинг стант фест «Новые вершины»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61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Семейный фестиваль — «Чемпионы нашего двора»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«Твой путь к семейному успеху»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«Возрождение старых дворовых игр»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34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Туристический арт-объект «Бердский бельчонок»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«Территория добрососедства»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1084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«Наша Победа всегда за СВОими»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813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«СВОи помогают СВОим»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2 000 000,00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566" w:gutter="0" w:header="708" w:top="1267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  <w:szCs w:val="24"/>
      </w:rPr>
    </w:pPr>
    <w:bookmarkStart w:id="0" w:name="PageNumWizard_HEADER_Базовый2"/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12</w:t>
    </w:r>
    <w:r>
      <w:rPr>
        <w:sz w:val="24"/>
        <w:szCs w:val="24"/>
        <w:rFonts w:ascii="Times New Roman" w:hAnsi="Times New Roman"/>
      </w:rPr>
      <w:fldChar w:fldCharType="end"/>
    </w:r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9e21c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InternetLink">
    <w:name w:val="Internet Link"/>
    <w:uiPriority w:val="99"/>
    <w:unhideWhenUsed/>
    <w:qFormat/>
    <w:rsid w:val="009e21c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d0b83"/>
    <w:rPr>
      <w:rFonts w:ascii="Segoe UI" w:hAnsi="Segoe UI" w:eastAsia="Calibr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9c2b5f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2b5f"/>
    <w:rPr>
      <w:rFonts w:ascii="Calibri" w:hAnsi="Calibri" w:eastAsia="Calibri" w:cs="Times New Roman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4"/>
    <w:rsid w:val="009e21c0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ConsPlusTitle" w:customStyle="1">
    <w:name w:val="ConsPlusTitle"/>
    <w:qFormat/>
    <w:rsid w:val="001f132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1f132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f132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d0b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9c2b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9c2b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961" w:leader="none"/>
        <w:tab w:val="right" w:pos="9922" w:leader="none"/>
      </w:tabs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Application>LibreOffice/24.2.4.2$Linux_X86_64 LibreOffice_project/51a6219feb6075d9a4c46691dcfe0cd9c4fff3c2</Application>
  <AppVersion>15.0000</AppVersion>
  <Pages>12</Pages>
  <Words>2071</Words>
  <Characters>13030</Characters>
  <CharactersWithSpaces>14779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2024-03-25T02:57:00Z</dcterms:created>
  <dc:creator>Ольга Анатольевна Кондратьева</dc:creator>
  <dc:description/>
  <dc:language>ru-RU</dc:language>
  <cp:lastModifiedBy/>
  <cp:lastPrinted>2025-03-25T16:07:32Z</cp:lastPrinted>
  <dcterms:modified xsi:type="dcterms:W3CDTF">2025-04-04T14:06:50Z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