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EA" w:rsidRPr="0061166B" w:rsidRDefault="008D15EA" w:rsidP="008D15EA">
      <w:pPr>
        <w:jc w:val="center"/>
        <w:rPr>
          <w:rFonts w:cs="Times New Roman"/>
          <w:color w:val="auto"/>
          <w:sz w:val="28"/>
          <w:szCs w:val="28"/>
        </w:rPr>
      </w:pPr>
      <w:r w:rsidRPr="00A56AE4">
        <w:rPr>
          <w:rFonts w:cs="Times New Roman"/>
          <w:color w:val="auto"/>
          <w:sz w:val="28"/>
          <w:szCs w:val="28"/>
        </w:rPr>
        <w:t xml:space="preserve">Информация </w:t>
      </w:r>
      <w:r w:rsidRPr="00A56AE4">
        <w:rPr>
          <w:color w:val="auto"/>
          <w:sz w:val="28"/>
          <w:szCs w:val="28"/>
        </w:rPr>
        <w:t xml:space="preserve">о </w:t>
      </w:r>
      <w:r w:rsidRPr="00A56AE4">
        <w:rPr>
          <w:bCs/>
          <w:color w:val="auto"/>
          <w:sz w:val="28"/>
          <w:szCs w:val="28"/>
        </w:rPr>
        <w:t xml:space="preserve">проведенной экспертизе </w:t>
      </w:r>
      <w:r>
        <w:rPr>
          <w:bCs/>
          <w:color w:val="auto"/>
          <w:sz w:val="28"/>
          <w:szCs w:val="28"/>
        </w:rPr>
        <w:t>п</w:t>
      </w:r>
      <w:r w:rsidRPr="0061166B">
        <w:rPr>
          <w:rFonts w:cs="Times New Roman"/>
          <w:color w:val="auto"/>
          <w:sz w:val="28"/>
          <w:szCs w:val="28"/>
        </w:rPr>
        <w:t>роект</w:t>
      </w:r>
      <w:r>
        <w:rPr>
          <w:rFonts w:cs="Times New Roman"/>
          <w:color w:val="auto"/>
          <w:sz w:val="28"/>
          <w:szCs w:val="28"/>
        </w:rPr>
        <w:t>а</w:t>
      </w:r>
      <w:r w:rsidRPr="0061166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61166B">
        <w:rPr>
          <w:color w:val="auto"/>
          <w:sz w:val="28"/>
          <w:szCs w:val="28"/>
        </w:rPr>
        <w:t xml:space="preserve">остановления администрации города Бердска </w:t>
      </w:r>
      <w:r w:rsidRPr="0061166B">
        <w:rPr>
          <w:rFonts w:cs="Times New Roman"/>
          <w:color w:val="auto"/>
          <w:sz w:val="28"/>
          <w:szCs w:val="28"/>
        </w:rPr>
        <w:t>«О внесении изменений в постановление администрации города Бердска от 16.02.2016 №326 «Об утверждении муниципальной программы «Развитие образования, создание условий для социализации обучающихся и воспитанников в городе Бердске на 2016-2021 годы».</w:t>
      </w:r>
    </w:p>
    <w:p w:rsidR="008D15EA" w:rsidRDefault="008D15EA" w:rsidP="008D15EA">
      <w:pPr>
        <w:jc w:val="center"/>
        <w:rPr>
          <w:color w:val="auto"/>
          <w:sz w:val="28"/>
          <w:szCs w:val="28"/>
        </w:rPr>
      </w:pPr>
    </w:p>
    <w:p w:rsidR="008D15EA" w:rsidRPr="00A56AE4" w:rsidRDefault="008D15EA" w:rsidP="008D15EA">
      <w:pPr>
        <w:jc w:val="both"/>
        <w:rPr>
          <w:rFonts w:cs="Times New Roman"/>
          <w:color w:val="auto"/>
          <w:sz w:val="28"/>
          <w:szCs w:val="28"/>
        </w:rPr>
      </w:pPr>
      <w:r w:rsidRPr="00A56AE4">
        <w:rPr>
          <w:rFonts w:cs="Times New Roman"/>
          <w:color w:val="auto"/>
          <w:sz w:val="28"/>
          <w:szCs w:val="28"/>
        </w:rPr>
        <w:tab/>
        <w:t>Экспертиза проекта внесения изменений в Программу проведена в целях определения соответствия положений, изложенных в проекте, действующим нормативным правовым актам Российской Федерации, Новосибирской области, города Бердска, а так же оценки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</w:t>
      </w:r>
    </w:p>
    <w:p w:rsidR="008D15EA" w:rsidRPr="00A56AE4" w:rsidRDefault="008D15EA" w:rsidP="008D15EA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color w:val="auto"/>
          <w:sz w:val="28"/>
          <w:szCs w:val="28"/>
        </w:rPr>
      </w:pPr>
      <w:r w:rsidRPr="00A56AE4">
        <w:rPr>
          <w:rFonts w:cs="Times New Roman"/>
          <w:color w:val="auto"/>
          <w:sz w:val="28"/>
          <w:szCs w:val="28"/>
        </w:rPr>
        <w:t xml:space="preserve"> Проведенной экспертизой установлено:</w:t>
      </w:r>
    </w:p>
    <w:p w:rsidR="00905A2F" w:rsidRPr="0061166B" w:rsidRDefault="00905A2F" w:rsidP="00905A2F">
      <w:pPr>
        <w:jc w:val="both"/>
        <w:rPr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ab/>
      </w:r>
      <w:r w:rsidRPr="0061166B">
        <w:rPr>
          <w:rFonts w:cs="Times New Roman"/>
          <w:color w:val="auto"/>
          <w:sz w:val="28"/>
          <w:szCs w:val="28"/>
          <w:shd w:val="clear" w:color="auto" w:fill="FFFFFF"/>
        </w:rPr>
        <w:t xml:space="preserve">Согласно финансовому обоснованию, </w:t>
      </w:r>
      <w:r w:rsidRPr="0061166B">
        <w:rPr>
          <w:rFonts w:cs="Times New Roman"/>
          <w:color w:val="auto"/>
          <w:sz w:val="28"/>
          <w:szCs w:val="28"/>
        </w:rPr>
        <w:t>представленному к проекту постановления, внесение изменений в финансовые показатели обусловлено приведением в соответствие,</w:t>
      </w:r>
      <w:r w:rsidRPr="0061166B">
        <w:rPr>
          <w:rFonts w:cs="Times New Roman"/>
          <w:color w:val="auto"/>
          <w:sz w:val="28"/>
          <w:szCs w:val="28"/>
          <w:u w:val="single"/>
        </w:rPr>
        <w:t xml:space="preserve"> объемов финансирования</w:t>
      </w:r>
      <w:r w:rsidRPr="0061166B">
        <w:rPr>
          <w:rFonts w:cs="Times New Roman"/>
          <w:color w:val="auto"/>
          <w:sz w:val="28"/>
          <w:szCs w:val="28"/>
        </w:rPr>
        <w:t xml:space="preserve"> проекта Программы с финансированием, предусмотренным решениями Совета депутатов города Бердска от 20.12.2018 №228 «О бюджете города Бердска </w:t>
      </w:r>
      <w:r w:rsidRPr="0061166B">
        <w:rPr>
          <w:rFonts w:cs="Times New Roman"/>
          <w:b/>
          <w:color w:val="auto"/>
          <w:sz w:val="28"/>
          <w:szCs w:val="28"/>
          <w:u w:val="single"/>
        </w:rPr>
        <w:t>на 2019</w:t>
      </w:r>
      <w:r w:rsidRPr="0061166B">
        <w:rPr>
          <w:rFonts w:cs="Times New Roman"/>
          <w:color w:val="auto"/>
          <w:sz w:val="28"/>
          <w:szCs w:val="28"/>
        </w:rPr>
        <w:t xml:space="preserve"> год и плановый период 2020 и 2021 годов»; </w:t>
      </w:r>
      <w:proofErr w:type="gramStart"/>
      <w:r w:rsidRPr="0061166B">
        <w:rPr>
          <w:rFonts w:cs="Times New Roman"/>
          <w:color w:val="auto"/>
          <w:sz w:val="28"/>
          <w:szCs w:val="28"/>
        </w:rPr>
        <w:t xml:space="preserve">решение Совета депутатов города Бердска от 21.12.2017 №121 «О бюджете города Бердска </w:t>
      </w:r>
      <w:r w:rsidRPr="0061166B">
        <w:rPr>
          <w:rFonts w:cs="Times New Roman"/>
          <w:b/>
          <w:color w:val="auto"/>
          <w:sz w:val="28"/>
          <w:szCs w:val="28"/>
          <w:u w:val="single"/>
        </w:rPr>
        <w:t>на 2018</w:t>
      </w:r>
      <w:r w:rsidRPr="0061166B">
        <w:rPr>
          <w:rFonts w:cs="Times New Roman"/>
          <w:color w:val="auto"/>
          <w:sz w:val="28"/>
          <w:szCs w:val="28"/>
        </w:rPr>
        <w:t xml:space="preserve"> год и плановый период 2019 и 2020 годов» (ред. от 20.12.2018 №229); решение Совета депутатов города Бердска от 22.12.2016 №26 </w:t>
      </w:r>
      <w:r w:rsidRPr="0061166B">
        <w:rPr>
          <w:color w:val="auto"/>
          <w:sz w:val="28"/>
          <w:szCs w:val="28"/>
        </w:rPr>
        <w:t xml:space="preserve">«О бюджете города Бердска </w:t>
      </w:r>
      <w:r w:rsidRPr="0061166B">
        <w:rPr>
          <w:b/>
          <w:color w:val="auto"/>
          <w:sz w:val="28"/>
          <w:szCs w:val="28"/>
          <w:u w:val="single"/>
        </w:rPr>
        <w:t>на 2017</w:t>
      </w:r>
      <w:r w:rsidRPr="0061166B">
        <w:rPr>
          <w:color w:val="auto"/>
          <w:sz w:val="28"/>
          <w:szCs w:val="28"/>
        </w:rPr>
        <w:t xml:space="preserve"> год и плано</w:t>
      </w:r>
      <w:r>
        <w:rPr>
          <w:color w:val="auto"/>
          <w:sz w:val="28"/>
          <w:szCs w:val="28"/>
        </w:rPr>
        <w:t>вый период 2018 и 2019 годов» (</w:t>
      </w:r>
      <w:r w:rsidRPr="0061166B">
        <w:rPr>
          <w:color w:val="auto"/>
          <w:sz w:val="28"/>
          <w:szCs w:val="28"/>
        </w:rPr>
        <w:t xml:space="preserve">ред. от 21.12.2017 №120). </w:t>
      </w:r>
      <w:proofErr w:type="gramEnd"/>
    </w:p>
    <w:p w:rsidR="006033C8" w:rsidRDefault="00905A2F" w:rsidP="00905A2F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 w:rsidRPr="0061166B">
        <w:rPr>
          <w:rFonts w:cs="Times New Roman"/>
          <w:color w:val="auto"/>
          <w:sz w:val="28"/>
          <w:szCs w:val="28"/>
        </w:rPr>
        <w:t>В результате внесенных изменений, согласно таблице «Сводные финансовые затраты программы» (приложение №3) общий объем финансирования программы увеличился на сумму 1112708,0 тыс</w:t>
      </w:r>
      <w:proofErr w:type="gramStart"/>
      <w:r w:rsidRPr="0061166B">
        <w:rPr>
          <w:rFonts w:cs="Times New Roman"/>
          <w:color w:val="auto"/>
          <w:sz w:val="28"/>
          <w:szCs w:val="28"/>
        </w:rPr>
        <w:t>.р</w:t>
      </w:r>
      <w:proofErr w:type="gramEnd"/>
      <w:r w:rsidRPr="0061166B">
        <w:rPr>
          <w:rFonts w:cs="Times New Roman"/>
          <w:color w:val="auto"/>
          <w:sz w:val="28"/>
          <w:szCs w:val="28"/>
        </w:rPr>
        <w:t>уб</w:t>
      </w:r>
      <w:r>
        <w:rPr>
          <w:rFonts w:cs="Times New Roman"/>
          <w:color w:val="auto"/>
          <w:sz w:val="28"/>
          <w:szCs w:val="28"/>
        </w:rPr>
        <w:t>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1166B">
        <w:rPr>
          <w:rFonts w:cs="Times New Roman"/>
          <w:color w:val="auto"/>
          <w:sz w:val="28"/>
          <w:szCs w:val="28"/>
          <w:shd w:val="clear" w:color="auto" w:fill="FFFFFF"/>
        </w:rPr>
        <w:t>При анализе</w:t>
      </w:r>
      <w:r w:rsidRPr="0061166B">
        <w:rPr>
          <w:rFonts w:cs="Times New Roman"/>
          <w:color w:val="auto"/>
          <w:sz w:val="28"/>
          <w:szCs w:val="28"/>
        </w:rPr>
        <w:t xml:space="preserve"> вносимых изменений</w:t>
      </w:r>
      <w:r w:rsidRPr="0061166B">
        <w:rPr>
          <w:rFonts w:cs="Times New Roman"/>
          <w:color w:val="auto"/>
          <w:sz w:val="28"/>
          <w:szCs w:val="28"/>
          <w:shd w:val="clear" w:color="auto" w:fill="FFFFFF"/>
        </w:rPr>
        <w:t>, определенно, что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 планируемые </w:t>
      </w:r>
      <w:r w:rsidRPr="0061166B">
        <w:rPr>
          <w:rFonts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1166B">
        <w:rPr>
          <w:rFonts w:cs="Times New Roman"/>
          <w:color w:val="auto"/>
          <w:sz w:val="28"/>
          <w:szCs w:val="28"/>
        </w:rPr>
        <w:t xml:space="preserve">объемы финансирования муниципальной Программы </w:t>
      </w:r>
      <w:r w:rsidRPr="0061166B">
        <w:rPr>
          <w:rFonts w:cs="Times New Roman"/>
          <w:color w:val="auto"/>
          <w:sz w:val="28"/>
          <w:szCs w:val="28"/>
          <w:u w:val="single"/>
        </w:rPr>
        <w:t>противоречат</w:t>
      </w:r>
      <w:r w:rsidRPr="0061166B">
        <w:rPr>
          <w:rFonts w:cs="Times New Roman"/>
          <w:color w:val="auto"/>
          <w:sz w:val="28"/>
          <w:szCs w:val="28"/>
        </w:rPr>
        <w:t xml:space="preserve"> значениям бюджетных ассигнований, утвержденных </w:t>
      </w:r>
      <w:r>
        <w:rPr>
          <w:rFonts w:cs="Times New Roman"/>
          <w:color w:val="auto"/>
          <w:sz w:val="28"/>
          <w:szCs w:val="28"/>
        </w:rPr>
        <w:t xml:space="preserve">Решениями Совета депутатов города Бердска </w:t>
      </w:r>
      <w:r w:rsidRPr="0061166B">
        <w:rPr>
          <w:rFonts w:cs="Times New Roman"/>
          <w:color w:val="auto"/>
          <w:sz w:val="28"/>
          <w:szCs w:val="28"/>
        </w:rPr>
        <w:t xml:space="preserve"> о бюджете города Бердска на 2017</w:t>
      </w:r>
      <w:r>
        <w:rPr>
          <w:rFonts w:cs="Times New Roman"/>
          <w:color w:val="auto"/>
          <w:sz w:val="28"/>
          <w:szCs w:val="28"/>
        </w:rPr>
        <w:t>,2018,2019,2020,</w:t>
      </w:r>
      <w:r w:rsidRPr="0061166B">
        <w:rPr>
          <w:rFonts w:cs="Times New Roman"/>
          <w:color w:val="auto"/>
          <w:sz w:val="28"/>
          <w:szCs w:val="28"/>
        </w:rPr>
        <w:t>2021 годы.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1166B">
        <w:rPr>
          <w:rFonts w:cs="Times New Roman"/>
          <w:color w:val="auto"/>
          <w:sz w:val="28"/>
          <w:szCs w:val="28"/>
        </w:rPr>
        <w:t>Так в представленном проекте постановления (строка «Ресурсное обеспечение муниципальной программы» Паспорт</w:t>
      </w:r>
      <w:r>
        <w:rPr>
          <w:rFonts w:cs="Times New Roman"/>
          <w:color w:val="auto"/>
          <w:sz w:val="28"/>
          <w:szCs w:val="28"/>
        </w:rPr>
        <w:t>а</w:t>
      </w:r>
      <w:r w:rsidRPr="0061166B">
        <w:rPr>
          <w:rFonts w:cs="Times New Roman"/>
          <w:color w:val="auto"/>
          <w:sz w:val="28"/>
          <w:szCs w:val="28"/>
        </w:rPr>
        <w:t xml:space="preserve"> Программы, </w:t>
      </w:r>
      <w:r>
        <w:rPr>
          <w:rFonts w:cs="Times New Roman"/>
          <w:color w:val="auto"/>
          <w:sz w:val="28"/>
          <w:szCs w:val="28"/>
        </w:rPr>
        <w:t xml:space="preserve">а так же в </w:t>
      </w:r>
      <w:r w:rsidRPr="0061166B">
        <w:rPr>
          <w:rFonts w:cs="Times New Roman"/>
          <w:color w:val="auto"/>
          <w:sz w:val="28"/>
          <w:szCs w:val="28"/>
        </w:rPr>
        <w:t>приложени</w:t>
      </w:r>
      <w:r>
        <w:rPr>
          <w:rFonts w:cs="Times New Roman"/>
          <w:color w:val="auto"/>
          <w:sz w:val="28"/>
          <w:szCs w:val="28"/>
        </w:rPr>
        <w:t>и</w:t>
      </w:r>
      <w:r w:rsidRPr="0061166B">
        <w:rPr>
          <w:rFonts w:cs="Times New Roman"/>
          <w:color w:val="auto"/>
          <w:sz w:val="28"/>
          <w:szCs w:val="28"/>
        </w:rPr>
        <w:t xml:space="preserve"> №3 «Сводные финансовые затраты муниципальной программы»), установлен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недостоверно отраженный общий объем финансирования муниципальной программы</w:t>
      </w:r>
      <w:r>
        <w:rPr>
          <w:rFonts w:cs="Times New Roman"/>
          <w:i/>
          <w:color w:val="auto"/>
          <w:sz w:val="28"/>
          <w:szCs w:val="28"/>
          <w:u w:val="single"/>
        </w:rPr>
        <w:t>, а именно</w:t>
      </w:r>
      <w:r w:rsidRPr="0061166B">
        <w:rPr>
          <w:rFonts w:cs="Times New Roman"/>
          <w:color w:val="auto"/>
          <w:sz w:val="28"/>
          <w:szCs w:val="28"/>
        </w:rPr>
        <w:t>: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b/>
          <w:color w:val="auto"/>
          <w:sz w:val="28"/>
          <w:szCs w:val="28"/>
        </w:rPr>
        <w:t>за 2017 год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t xml:space="preserve">Решением Совета депутатов города Бердска от 21.12.2017 №120 финансирование муниципальной программы </w:t>
      </w:r>
      <w:r w:rsidRPr="0061166B">
        <w:rPr>
          <w:rFonts w:cs="Times New Roman"/>
          <w:b/>
          <w:color w:val="auto"/>
          <w:sz w:val="28"/>
          <w:szCs w:val="28"/>
        </w:rPr>
        <w:t>«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Развитие образования, создание условий для социализации обучающихся и воспитанников в городе Бердске на 2016 - 2021 годы</w:t>
      </w:r>
      <w:r w:rsidRPr="0061166B">
        <w:rPr>
          <w:rFonts w:cs="Times New Roman"/>
          <w:b/>
          <w:color w:val="auto"/>
          <w:sz w:val="28"/>
          <w:szCs w:val="28"/>
        </w:rPr>
        <w:t xml:space="preserve">» </w:t>
      </w:r>
      <w:r w:rsidRPr="0061166B">
        <w:rPr>
          <w:rFonts w:cs="Times New Roman"/>
          <w:color w:val="auto"/>
          <w:sz w:val="28"/>
          <w:szCs w:val="28"/>
        </w:rPr>
        <w:t xml:space="preserve">утверждено в объеме </w:t>
      </w:r>
      <w:r w:rsidRPr="0061166B">
        <w:rPr>
          <w:rFonts w:cs="Times New Roman"/>
          <w:b/>
          <w:i/>
          <w:color w:val="auto"/>
          <w:sz w:val="28"/>
          <w:szCs w:val="28"/>
        </w:rPr>
        <w:t>1164755,8 тыс. рублей.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lastRenderedPageBreak/>
        <w:t xml:space="preserve">Проектом изменений Программы объем финансирования на 2017 год предлагается в размере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1153025,6 тыс. рублей,</w:t>
      </w:r>
      <w:r w:rsidRPr="0061166B">
        <w:rPr>
          <w:rFonts w:cs="Times New Roman"/>
          <w:color w:val="auto"/>
          <w:sz w:val="28"/>
          <w:szCs w:val="28"/>
        </w:rPr>
        <w:t xml:space="preserve"> сумма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расхождений составляет</w:t>
      </w:r>
      <w:r w:rsidRPr="0061166B">
        <w:rPr>
          <w:rFonts w:cs="Times New Roman"/>
          <w:color w:val="auto"/>
          <w:sz w:val="28"/>
          <w:szCs w:val="28"/>
        </w:rPr>
        <w:t xml:space="preserve"> </w:t>
      </w:r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 xml:space="preserve">минус 11730,2 </w:t>
      </w:r>
      <w:proofErr w:type="spell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уб</w:t>
      </w:r>
      <w:proofErr w:type="spell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,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  <w:t>за 2018 год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t xml:space="preserve">Решением Совета депутатов города Бердска от 20.12.2018 №229 финансирование муниципальной программы </w:t>
      </w:r>
      <w:r w:rsidRPr="0061166B">
        <w:rPr>
          <w:rFonts w:cs="Times New Roman"/>
          <w:b/>
          <w:color w:val="auto"/>
          <w:sz w:val="28"/>
          <w:szCs w:val="28"/>
        </w:rPr>
        <w:t>«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Развитие образования, создание условий для социализации обучающихся и воспитанников в городе Бердске на 2016 - 2021 годы</w:t>
      </w:r>
      <w:r w:rsidRPr="0061166B">
        <w:rPr>
          <w:rFonts w:cs="Times New Roman"/>
          <w:b/>
          <w:color w:val="auto"/>
          <w:sz w:val="28"/>
          <w:szCs w:val="28"/>
        </w:rPr>
        <w:t xml:space="preserve">» </w:t>
      </w:r>
      <w:r w:rsidRPr="0061166B">
        <w:rPr>
          <w:rFonts w:cs="Times New Roman"/>
          <w:color w:val="auto"/>
          <w:sz w:val="28"/>
          <w:szCs w:val="28"/>
        </w:rPr>
        <w:t xml:space="preserve">утверждено в объеме </w:t>
      </w:r>
      <w:r w:rsidRPr="0061166B">
        <w:rPr>
          <w:rFonts w:cs="Times New Roman"/>
          <w:b/>
          <w:i/>
          <w:color w:val="auto"/>
          <w:sz w:val="28"/>
          <w:szCs w:val="28"/>
        </w:rPr>
        <w:t>1270593,2 тыс. рублей.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61166B">
        <w:rPr>
          <w:rFonts w:cs="Times New Roman"/>
          <w:color w:val="auto"/>
          <w:sz w:val="28"/>
          <w:szCs w:val="28"/>
        </w:rPr>
        <w:t xml:space="preserve">Проектом изменений Программы объем финансирования на 2018 год предлагается в размере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1311508,7 тыс. рублей,</w:t>
      </w:r>
      <w:r w:rsidRPr="0061166B">
        <w:rPr>
          <w:rFonts w:cs="Times New Roman"/>
          <w:color w:val="auto"/>
          <w:sz w:val="28"/>
          <w:szCs w:val="28"/>
        </w:rPr>
        <w:t xml:space="preserve"> сумма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расхождений составляет</w:t>
      </w:r>
      <w:r w:rsidRPr="0061166B">
        <w:rPr>
          <w:rFonts w:cs="Times New Roman"/>
          <w:color w:val="auto"/>
          <w:sz w:val="28"/>
          <w:szCs w:val="28"/>
        </w:rPr>
        <w:t xml:space="preserve"> </w:t>
      </w:r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 xml:space="preserve">плюс 40915,5 </w:t>
      </w:r>
      <w:proofErr w:type="spell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уб</w:t>
      </w:r>
      <w:proofErr w:type="spell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,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b/>
          <w:color w:val="auto"/>
          <w:sz w:val="28"/>
          <w:szCs w:val="28"/>
        </w:rPr>
        <w:t>за</w:t>
      </w:r>
      <w:r w:rsidRPr="0061166B">
        <w:rPr>
          <w:b/>
          <w:color w:val="auto"/>
          <w:sz w:val="27"/>
          <w:szCs w:val="27"/>
        </w:rPr>
        <w:t xml:space="preserve"> 2019 год и плановый период 2020 и 2021 годы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t xml:space="preserve">Решением Совета депутатов города Бердска от 01.12.2018 №228 финансирование муниципальной программы </w:t>
      </w:r>
      <w:r w:rsidRPr="0061166B">
        <w:rPr>
          <w:rFonts w:cs="Times New Roman"/>
          <w:b/>
          <w:color w:val="auto"/>
          <w:sz w:val="28"/>
          <w:szCs w:val="28"/>
        </w:rPr>
        <w:t>«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Развитие образования, создание условий для социализации обучающихся и воспитанников в городе Бердске на 2016 - 2021 годы</w:t>
      </w:r>
      <w:r w:rsidRPr="0061166B">
        <w:rPr>
          <w:rFonts w:cs="Times New Roman"/>
          <w:b/>
          <w:color w:val="auto"/>
          <w:sz w:val="28"/>
          <w:szCs w:val="28"/>
        </w:rPr>
        <w:t xml:space="preserve">» </w:t>
      </w:r>
      <w:r w:rsidRPr="0061166B">
        <w:rPr>
          <w:rFonts w:cs="Times New Roman"/>
          <w:color w:val="auto"/>
          <w:sz w:val="28"/>
          <w:szCs w:val="28"/>
        </w:rPr>
        <w:t xml:space="preserve">утверждено в объеме </w:t>
      </w:r>
      <w:r w:rsidRPr="0061166B">
        <w:rPr>
          <w:rFonts w:cs="Times New Roman"/>
          <w:b/>
          <w:i/>
          <w:color w:val="auto"/>
          <w:sz w:val="28"/>
          <w:szCs w:val="28"/>
        </w:rPr>
        <w:t>1380806,8 тыс. рублей на 2019 год, в объеме 1403203,2 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</w:rPr>
        <w:t>ублей на 2020 год и в объеме 1442973,2 тыс.рублей на 2021 год 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1166B">
        <w:rPr>
          <w:rFonts w:cs="Times New Roman"/>
          <w:color w:val="auto"/>
          <w:sz w:val="28"/>
          <w:szCs w:val="28"/>
        </w:rPr>
        <w:t>Проектом изменений Программы объем финансирования: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61166B">
        <w:rPr>
          <w:rFonts w:cs="Times New Roman"/>
          <w:color w:val="auto"/>
          <w:sz w:val="28"/>
          <w:szCs w:val="28"/>
        </w:rPr>
        <w:t xml:space="preserve"> на 2019 год предлагается в размере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1393999,2 тыс. рублей,</w:t>
      </w:r>
      <w:r w:rsidRPr="0061166B">
        <w:rPr>
          <w:rFonts w:cs="Times New Roman"/>
          <w:color w:val="auto"/>
          <w:sz w:val="28"/>
          <w:szCs w:val="28"/>
        </w:rPr>
        <w:t xml:space="preserve"> сумма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расхождений составляет</w:t>
      </w:r>
      <w:r w:rsidRPr="0061166B">
        <w:rPr>
          <w:rFonts w:cs="Times New Roman"/>
          <w:color w:val="auto"/>
          <w:sz w:val="28"/>
          <w:szCs w:val="28"/>
        </w:rPr>
        <w:t xml:space="preserve"> </w:t>
      </w:r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 xml:space="preserve">плюс 13192,72 </w:t>
      </w:r>
      <w:proofErr w:type="spell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уб</w:t>
      </w:r>
      <w:proofErr w:type="spell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;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61166B">
        <w:rPr>
          <w:rFonts w:cs="Times New Roman"/>
          <w:color w:val="auto"/>
          <w:sz w:val="28"/>
          <w:szCs w:val="28"/>
        </w:rPr>
        <w:t xml:space="preserve"> на 2020 год предлагается в размере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1416396,04 тыс. рублей,</w:t>
      </w:r>
      <w:r w:rsidRPr="0061166B">
        <w:rPr>
          <w:rFonts w:cs="Times New Roman"/>
          <w:color w:val="auto"/>
          <w:sz w:val="28"/>
          <w:szCs w:val="28"/>
        </w:rPr>
        <w:t xml:space="preserve"> сумма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расхождений составляет</w:t>
      </w:r>
      <w:r w:rsidRPr="0061166B">
        <w:rPr>
          <w:rFonts w:cs="Times New Roman"/>
          <w:color w:val="auto"/>
          <w:sz w:val="28"/>
          <w:szCs w:val="28"/>
        </w:rPr>
        <w:t xml:space="preserve"> </w:t>
      </w:r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 xml:space="preserve">плюс 13192,72 </w:t>
      </w:r>
      <w:proofErr w:type="spell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уб</w:t>
      </w:r>
      <w:proofErr w:type="spell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,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t xml:space="preserve"> на 2021 год предлагается в размере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1456165,95 тыс. рублей,</w:t>
      </w:r>
      <w:r w:rsidRPr="0061166B">
        <w:rPr>
          <w:rFonts w:cs="Times New Roman"/>
          <w:color w:val="auto"/>
          <w:sz w:val="28"/>
          <w:szCs w:val="28"/>
        </w:rPr>
        <w:t xml:space="preserve"> сумма </w:t>
      </w:r>
      <w:r w:rsidRPr="0061166B">
        <w:rPr>
          <w:rFonts w:cs="Times New Roman"/>
          <w:i/>
          <w:color w:val="auto"/>
          <w:sz w:val="28"/>
          <w:szCs w:val="28"/>
          <w:u w:val="single"/>
        </w:rPr>
        <w:t>расхождений составляет</w:t>
      </w:r>
      <w:r w:rsidRPr="0061166B">
        <w:rPr>
          <w:rFonts w:cs="Times New Roman"/>
          <w:color w:val="auto"/>
          <w:sz w:val="28"/>
          <w:szCs w:val="28"/>
        </w:rPr>
        <w:t xml:space="preserve"> </w:t>
      </w:r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плюс 13192,72 тыс</w:t>
      </w:r>
      <w:proofErr w:type="gramStart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.р</w:t>
      </w:r>
      <w:proofErr w:type="gramEnd"/>
      <w:r w:rsidRPr="0061166B">
        <w:rPr>
          <w:rFonts w:cs="Times New Roman"/>
          <w:b/>
          <w:i/>
          <w:color w:val="auto"/>
          <w:sz w:val="28"/>
          <w:szCs w:val="28"/>
          <w:u w:val="single"/>
        </w:rPr>
        <w:t>уб.</w:t>
      </w:r>
    </w:p>
    <w:p w:rsidR="00905A2F" w:rsidRPr="0061166B" w:rsidRDefault="00905A2F" w:rsidP="00905A2F">
      <w:pPr>
        <w:tabs>
          <w:tab w:val="clear" w:pos="720"/>
          <w:tab w:val="left" w:pos="142"/>
        </w:tabs>
        <w:jc w:val="both"/>
        <w:rPr>
          <w:rFonts w:eastAsia="Times New Roman" w:cs="Times New Roman"/>
          <w:i/>
          <w:color w:val="auto"/>
          <w:kern w:val="0"/>
          <w:lang w:eastAsia="ru-RU" w:bidi="ar-SA"/>
        </w:rPr>
      </w:pPr>
      <w:r w:rsidRPr="0061166B">
        <w:rPr>
          <w:rFonts w:cs="Times New Roman"/>
          <w:color w:val="auto"/>
          <w:sz w:val="28"/>
          <w:szCs w:val="28"/>
        </w:rPr>
        <w:tab/>
      </w:r>
      <w:r w:rsidRPr="0061166B">
        <w:rPr>
          <w:rFonts w:cs="Times New Roman"/>
          <w:color w:val="auto"/>
          <w:sz w:val="28"/>
          <w:szCs w:val="28"/>
        </w:rPr>
        <w:tab/>
        <w:t xml:space="preserve">Данные несоответствия приводят к нарушению положений статьи 179 Бюджетного кодекса 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Российской Федерации</w:t>
      </w:r>
      <w:r w:rsidRPr="0061166B">
        <w:rPr>
          <w:rFonts w:cs="Times New Roman"/>
          <w:color w:val="auto"/>
          <w:sz w:val="28"/>
          <w:szCs w:val="28"/>
        </w:rPr>
        <w:t xml:space="preserve">, ввиду того, что </w:t>
      </w:r>
      <w:r w:rsidRPr="0061166B">
        <w:rPr>
          <w:rFonts w:cs="Times New Roman"/>
          <w:color w:val="auto"/>
          <w:sz w:val="28"/>
          <w:szCs w:val="28"/>
          <w:u w:val="single"/>
        </w:rPr>
        <w:t>о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бъем бюджетных ассигнований на реализацию муниципальных программ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в соответствии с </w:t>
      </w:r>
      <w:hyperlink r:id="rId4" w:history="1">
        <w:r w:rsidRPr="0061166B"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>абзацем 1 пунктом 2 статьи 179</w:t>
        </w:r>
      </w:hyperlink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Бюджетного кодекса Российской Федерации 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утверждается законом (решением) о бюджете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. </w:t>
      </w:r>
      <w:hyperlink r:id="rId5" w:history="1">
        <w:r w:rsidRPr="0061166B">
          <w:rPr>
            <w:rFonts w:eastAsia="Times New Roman" w:cs="Times New Roman"/>
            <w:color w:val="auto"/>
            <w:kern w:val="0"/>
            <w:sz w:val="28"/>
            <w:szCs w:val="28"/>
            <w:lang w:eastAsia="ru-RU" w:bidi="ar-SA"/>
          </w:rPr>
          <w:t>Абзацем 4 указанного пункта</w:t>
        </w:r>
      </w:hyperlink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, установлена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необходимость приведения государственных (муниципальных) программ в соответствие с законом (решением) о бюджете в трехмесячный срок со дня вступления его в силу</w:t>
      </w:r>
      <w:r w:rsidRPr="0061166B">
        <w:rPr>
          <w:rFonts w:eastAsia="Times New Roman" w:cs="Times New Roman"/>
          <w:i/>
          <w:color w:val="auto"/>
          <w:kern w:val="0"/>
          <w:lang w:eastAsia="ru-RU" w:bidi="ar-SA"/>
        </w:rPr>
        <w:t>.</w:t>
      </w:r>
    </w:p>
    <w:p w:rsidR="00905A2F" w:rsidRPr="0061166B" w:rsidRDefault="00905A2F" w:rsidP="00905A2F">
      <w:pPr>
        <w:tabs>
          <w:tab w:val="clear" w:pos="720"/>
          <w:tab w:val="left" w:pos="0"/>
        </w:tabs>
        <w:jc w:val="both"/>
        <w:rPr>
          <w:color w:val="auto"/>
          <w:sz w:val="28"/>
          <w:szCs w:val="28"/>
        </w:rPr>
      </w:pP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ab/>
      </w:r>
      <w:r w:rsidRPr="009145F3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 ходе проведения экспертизы, по предложению КСП, разработчиком проекта </w:t>
      </w:r>
      <w:r w:rsidRPr="009145F3">
        <w:rPr>
          <w:color w:val="auto"/>
          <w:sz w:val="28"/>
          <w:szCs w:val="28"/>
        </w:rPr>
        <w:t xml:space="preserve">планируемые объемы финансового обеспечения Программы на 2020-2021 годы приведены в соответствие с бюджетными ассигнованиями предусмотренными решением о Бюджете города Бердска от 20.12.2018 №228. Объемы финансового обеспечения Программы на 2018 год приведены в соответствие с бюджетными ассигнованиями предусмотренными решением о Бюджете города Бердска от 20.12.2018 №229 и скорректированы с учетом уведомления </w:t>
      </w:r>
      <w:proofErr w:type="spellStart"/>
      <w:r w:rsidRPr="009145F3">
        <w:rPr>
          <w:color w:val="auto"/>
          <w:sz w:val="28"/>
          <w:szCs w:val="28"/>
        </w:rPr>
        <w:t>УФиНП</w:t>
      </w:r>
      <w:proofErr w:type="spellEnd"/>
      <w:r w:rsidRPr="009145F3">
        <w:rPr>
          <w:color w:val="auto"/>
          <w:sz w:val="28"/>
          <w:szCs w:val="28"/>
        </w:rPr>
        <w:t xml:space="preserve"> от 27.12.2018 №533.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 соответствии с </w:t>
      </w:r>
      <w:r w:rsidRPr="0061166B">
        <w:rPr>
          <w:rFonts w:cs="Times New Roman"/>
          <w:color w:val="auto"/>
          <w:sz w:val="28"/>
          <w:szCs w:val="28"/>
        </w:rPr>
        <w:t>материалами, представленными для проведения экспертизы, проектом вносятся изменения в показатели целевых индикаторов.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 xml:space="preserve">При анализе вносимых изменений определено, что основные изменения связаны с устранением разночтений по строке «Целевые индикаторы и показатели муниципальной программы» Паспорта муниципальной программы и Приложения №1 к муниципальной программе «Цели, задачи и целевые индикаторы муниципальной программы города Бердска». 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зменения </w:t>
      </w:r>
      <w:r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вносятся 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в показатели целевых индикаторов «</w:t>
      </w:r>
      <w:r w:rsidRPr="006A1F7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Доля учителей с высшей категорией в общей численности учителей образовательных учреждений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» и «Д</w:t>
      </w:r>
      <w:r w:rsidRPr="006A1F7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оля педагогических работников ДОУ с высшей категорией в общей численности педагогических работников образовательных организаций, реализующих образовательные программы дошкольного образования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» за 2017 год. </w:t>
      </w:r>
      <w:proofErr w:type="gramStart"/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Согласно пояснений</w:t>
      </w:r>
      <w:proofErr w:type="gramEnd"/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, представленных разработчиком Программы, данные показатели скорректированы с учетом фактически прошедших аттестацию </w:t>
      </w:r>
      <w:r w:rsidRPr="006A1F70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педагогических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 работников.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Кроме того, в</w:t>
      </w:r>
      <w:r w:rsidRPr="0061166B">
        <w:rPr>
          <w:rFonts w:cs="Times New Roman"/>
          <w:color w:val="auto"/>
          <w:sz w:val="28"/>
          <w:szCs w:val="28"/>
        </w:rPr>
        <w:t xml:space="preserve"> соответствии с представленными </w:t>
      </w: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изменениям, в целевой индикатор «Доля детей с ОВЗ и детей-инвалидов, охваченных инклюзивной формой обучения, от общего количества детей с ОВЗ и инвалидов» вносятся изменения в части снижения показателя  с 85 % (в 2017-2018 годы) и 90% (в 2019-2021 годы) до 62%. При этом значение данного целевого индикатора до начала реализации программы составляло 70%.</w:t>
      </w:r>
      <w:proofErr w:type="gramEnd"/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Согласно пояснений</w:t>
      </w:r>
      <w:proofErr w:type="gramEnd"/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>, представленных разработчиком программы, снижение показателя объясняется нежеланием родителей учащихся предоставлять в общеобразовательную организацию необходимый пакет документов, подтверждающий наличие заболеваний и (или) инвалидности.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Вместе с тем, исходя из сведений отраженных в строке «Ожидаемые результаты реализации программы» Паспорта программы, раздела VI «Ожидаемые и конечные результаты муниципальной программы» текстовой части программы, а так же  столбца 4 Приложения №2 следует, что в результате реализации мероприятий программы </w:t>
      </w:r>
      <w:r w:rsidRPr="0061166B"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eastAsia="ru-RU" w:bidi="ar-SA"/>
        </w:rPr>
        <w:t>увеличится доля</w:t>
      </w:r>
      <w:r w:rsidRPr="0061166B">
        <w:rPr>
          <w:rFonts w:eastAsia="Times New Roman" w:cs="Times New Roman"/>
          <w:b/>
          <w:color w:val="auto"/>
          <w:kern w:val="0"/>
          <w:sz w:val="28"/>
          <w:szCs w:val="28"/>
          <w:lang w:eastAsia="ru-RU" w:bidi="ar-SA"/>
        </w:rPr>
        <w:t xml:space="preserve"> с ОВЗ и детей-инвалидов, охваченных инклюзивной формой обучения.</w:t>
      </w:r>
    </w:p>
    <w:p w:rsidR="00905A2F" w:rsidRPr="0061166B" w:rsidRDefault="00905A2F" w:rsidP="00905A2F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1166B"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  <w:t xml:space="preserve">Таким образом, определено несоответствие между заявленным ожидаемым результатом и вышеназванным  целевым индикатором </w:t>
      </w:r>
      <w:r w:rsidRPr="0061166B">
        <w:rPr>
          <w:rFonts w:cs="Times New Roman"/>
          <w:color w:val="auto"/>
          <w:sz w:val="28"/>
          <w:szCs w:val="28"/>
        </w:rPr>
        <w:t>определяющим динамику выполнения мероприятия программы.</w:t>
      </w:r>
    </w:p>
    <w:p w:rsidR="00905A2F" w:rsidRPr="0061166B" w:rsidRDefault="00905A2F" w:rsidP="00905A2F">
      <w:pPr>
        <w:jc w:val="both"/>
        <w:rPr>
          <w:b/>
          <w:color w:val="auto"/>
          <w:sz w:val="28"/>
          <w:szCs w:val="28"/>
        </w:rPr>
      </w:pPr>
    </w:p>
    <w:p w:rsidR="00905A2F" w:rsidRDefault="00905A2F" w:rsidP="00905A2F">
      <w:pPr>
        <w:jc w:val="both"/>
      </w:pPr>
    </w:p>
    <w:sectPr w:rsidR="00905A2F" w:rsidSect="0060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15EA"/>
    <w:rsid w:val="002A382F"/>
    <w:rsid w:val="006033C8"/>
    <w:rsid w:val="008D15EA"/>
    <w:rsid w:val="00905A2F"/>
    <w:rsid w:val="00C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A"/>
    <w:pPr>
      <w:tabs>
        <w:tab w:val="left" w:pos="720"/>
      </w:tabs>
      <w:suppressAutoHyphens/>
      <w:jc w:val="left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4E2943E02B167EC421E0415A881853F882EB6F60A8A3C53900500F92D3D14289F52BE18AAC93FAUAL9H" TargetMode="External"/><Relationship Id="rId4" Type="http://schemas.openxmlformats.org/officeDocument/2006/relationships/hyperlink" Target="consultantplus://offline/ref=A410D2CDAE0D07985189BDD0CC70523965D5F2FF652D06DF1709029D192F178B516258B758C0EE55AA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Jilina</cp:lastModifiedBy>
  <cp:revision>1</cp:revision>
  <dcterms:created xsi:type="dcterms:W3CDTF">2019-01-24T04:37:00Z</dcterms:created>
  <dcterms:modified xsi:type="dcterms:W3CDTF">2019-01-24T08:39:00Z</dcterms:modified>
</cp:coreProperties>
</file>